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C4F0" w14:textId="77777777" w:rsidR="00104C0E" w:rsidRPr="007679DA" w:rsidRDefault="00104C0E" w:rsidP="00104C0E">
      <w:pPr>
        <w:spacing w:beforeAutospacing="1" w:afterAutospacing="1" w:line="240" w:lineRule="auto"/>
        <w:jc w:val="center"/>
        <w:rPr>
          <w:rFonts w:eastAsia="Trebuchet MS" w:cs="Poppins Light"/>
          <w:color w:val="004C6B" w:themeColor="text1"/>
          <w:sz w:val="72"/>
          <w:szCs w:val="72"/>
        </w:rPr>
      </w:pPr>
      <w:r w:rsidRPr="007679DA">
        <w:rPr>
          <w:rStyle w:val="normaltextrun"/>
          <w:rFonts w:eastAsia="Trebuchet MS" w:cs="Poppins Light"/>
          <w:b/>
          <w:bCs/>
          <w:color w:val="004C6B" w:themeColor="text1"/>
          <w:sz w:val="72"/>
          <w:szCs w:val="72"/>
          <w:lang w:val="en"/>
        </w:rPr>
        <w:t>Equality Impact Assessment Form </w:t>
      </w:r>
      <w:r w:rsidRPr="007679DA">
        <w:rPr>
          <w:rStyle w:val="eop"/>
          <w:rFonts w:eastAsia="Trebuchet MS" w:cs="Poppins Light"/>
          <w:color w:val="004C6B" w:themeColor="text1"/>
          <w:sz w:val="72"/>
          <w:szCs w:val="72"/>
        </w:rPr>
        <w:t> </w:t>
      </w:r>
    </w:p>
    <w:p w14:paraId="7160FCEE" w14:textId="77777777" w:rsidR="00104C0E" w:rsidRPr="007679DA" w:rsidRDefault="00104C0E" w:rsidP="00104C0E">
      <w:pPr>
        <w:spacing w:beforeAutospacing="1" w:afterAutospacing="1" w:line="240" w:lineRule="auto"/>
        <w:rPr>
          <w:rFonts w:eastAsia="Poppins" w:cs="Poppins Light"/>
          <w:b/>
          <w:bCs/>
          <w:color w:val="E73E97"/>
          <w:sz w:val="36"/>
          <w:szCs w:val="36"/>
        </w:rPr>
      </w:pPr>
      <w:r w:rsidRPr="007679DA">
        <w:rPr>
          <w:rFonts w:eastAsia="Poppins" w:cs="Poppins Light"/>
          <w:b/>
          <w:bCs/>
          <w:color w:val="E73E97"/>
          <w:sz w:val="28"/>
          <w:szCs w:val="28"/>
        </w:rPr>
        <w:t>CHARTING THE EXPERIENCES OF PEOPLE BEING DISCHARGED FROM HOSPITAL ON THE PATHWAY 3 CARE ROUTE</w:t>
      </w:r>
      <w:r w:rsidRPr="007679DA">
        <w:rPr>
          <w:rStyle w:val="normaltextrun"/>
          <w:rFonts w:eastAsia="Trebuchet MS" w:cs="Poppins Light"/>
          <w:color w:val="FFFFFF" w:themeColor="background1"/>
          <w:sz w:val="40"/>
          <w:szCs w:val="40"/>
        </w:rPr>
        <w:t>2020 </w:t>
      </w:r>
    </w:p>
    <w:p w14:paraId="30D43D2F" w14:textId="77777777" w:rsidR="00104C0E" w:rsidRPr="007679DA" w:rsidRDefault="00104C0E" w:rsidP="00104C0E">
      <w:pPr>
        <w:spacing w:beforeAutospacing="1" w:afterAutospacing="1" w:line="240" w:lineRule="auto"/>
        <w:rPr>
          <w:rFonts w:eastAsia="Trebuchet MS" w:cs="Poppins Light"/>
          <w:color w:val="004C6B" w:themeColor="text1"/>
        </w:rPr>
      </w:pPr>
      <w:r w:rsidRPr="007679DA">
        <w:rPr>
          <w:rStyle w:val="normaltextrun"/>
          <w:rFonts w:eastAsia="Lato" w:cs="Poppins Light"/>
          <w:color w:val="004C6B" w:themeColor="text1"/>
          <w:sz w:val="24"/>
          <w:szCs w:val="24"/>
        </w:rPr>
        <w:t>Healthwatch research and engagement projects seek to ensure that people who find it hardest to be heard can influence and design and delivery of health and care services. </w:t>
      </w:r>
    </w:p>
    <w:p w14:paraId="593BFE54" w14:textId="77777777" w:rsidR="00104C0E" w:rsidRPr="007679DA" w:rsidRDefault="00104C0E" w:rsidP="00104C0E">
      <w:pPr>
        <w:spacing w:beforeAutospacing="1" w:afterAutospacing="1" w:line="240" w:lineRule="auto"/>
        <w:rPr>
          <w:rFonts w:eastAsia="Lato" w:cs="Poppins Light"/>
          <w:color w:val="004C6B" w:themeColor="text1"/>
          <w:sz w:val="24"/>
          <w:szCs w:val="24"/>
        </w:rPr>
      </w:pPr>
      <w:r w:rsidRPr="007679DA">
        <w:rPr>
          <w:rStyle w:val="normaltextrun"/>
          <w:rFonts w:eastAsia="Lato" w:cs="Poppins Light"/>
          <w:color w:val="004C6B" w:themeColor="text1"/>
          <w:sz w:val="24"/>
          <w:szCs w:val="24"/>
        </w:rPr>
        <w:t>When seeking outcomes from a piece of work, or when making recommendations to commissioners and providers, consideration for the effect it has on all people needs to be addressed.  </w:t>
      </w:r>
    </w:p>
    <w:p w14:paraId="6D98B694" w14:textId="77777777" w:rsidR="00104C0E" w:rsidRPr="007679DA" w:rsidRDefault="00104C0E" w:rsidP="00104C0E">
      <w:pPr>
        <w:spacing w:beforeAutospacing="1" w:afterAutospacing="1" w:line="240" w:lineRule="auto"/>
        <w:rPr>
          <w:rFonts w:eastAsia="Lato" w:cs="Poppins Light"/>
          <w:color w:val="004C6B" w:themeColor="text1"/>
          <w:sz w:val="24"/>
          <w:szCs w:val="24"/>
        </w:rPr>
      </w:pPr>
      <w:r w:rsidRPr="007679DA">
        <w:rPr>
          <w:rStyle w:val="normaltextrun"/>
          <w:rFonts w:eastAsia="Lato" w:cs="Poppins Light"/>
          <w:color w:val="004C6B" w:themeColor="text1"/>
          <w:sz w:val="24"/>
          <w:szCs w:val="24"/>
        </w:rPr>
        <w:t>Equality, diversity, and inclusion are at the heart of our values.  As an organisation whose sole purpose is to give a strong and powerful voice to people who often go unheard, the Equality Act serves as the minimum for our work. </w:t>
      </w:r>
    </w:p>
    <w:p w14:paraId="16A13258" w14:textId="77777777" w:rsidR="00104C0E" w:rsidRPr="007679DA" w:rsidRDefault="00104C0E" w:rsidP="00104C0E">
      <w:pPr>
        <w:spacing w:beforeAutospacing="1" w:afterAutospacing="1" w:line="240" w:lineRule="auto"/>
        <w:rPr>
          <w:rFonts w:eastAsia="Lato" w:cs="Poppins Light"/>
          <w:color w:val="004C6B" w:themeColor="text1"/>
          <w:sz w:val="24"/>
          <w:szCs w:val="24"/>
        </w:rPr>
      </w:pPr>
      <w:r w:rsidRPr="007679DA">
        <w:rPr>
          <w:rStyle w:val="normaltextrun"/>
          <w:rFonts w:eastAsia="Lato" w:cs="Poppins Light"/>
          <w:color w:val="004C6B" w:themeColor="text1"/>
          <w:sz w:val="24"/>
          <w:szCs w:val="24"/>
        </w:rPr>
        <w:t>This form demonstrates that when the project is undertaken, the outcomes are achieved, and recommendations have been implemented this has led to increased equality and reduced barriers for protected groups and others who experience discrimination or disadvantage; whilst not inadvertently excluding others. </w:t>
      </w:r>
    </w:p>
    <w:p w14:paraId="41152712" w14:textId="77777777" w:rsidR="00104C0E" w:rsidRPr="007679DA" w:rsidRDefault="00104C0E" w:rsidP="00104C0E">
      <w:pPr>
        <w:spacing w:beforeAutospacing="1" w:afterAutospacing="1" w:line="240" w:lineRule="auto"/>
        <w:rPr>
          <w:rFonts w:eastAsia="Lato" w:cs="Poppins Light"/>
          <w:color w:val="004C6B" w:themeColor="text1"/>
          <w:sz w:val="24"/>
          <w:szCs w:val="24"/>
        </w:rPr>
      </w:pPr>
      <w:r w:rsidRPr="007679DA">
        <w:rPr>
          <w:rStyle w:val="eop"/>
          <w:rFonts w:eastAsia="Lato" w:cs="Poppins Light"/>
          <w:b/>
          <w:bCs/>
          <w:color w:val="004C6B" w:themeColor="text1"/>
          <w:sz w:val="24"/>
          <w:szCs w:val="24"/>
          <w:u w:val="single"/>
        </w:rPr>
        <w:t>CONTENTS</w:t>
      </w:r>
      <w:r w:rsidRPr="007679DA">
        <w:rPr>
          <w:rStyle w:val="eop"/>
          <w:rFonts w:eastAsia="Lato" w:cs="Poppins Light"/>
          <w:b/>
          <w:bCs/>
          <w:color w:val="004C6B" w:themeColor="text1"/>
          <w:sz w:val="24"/>
          <w:szCs w:val="24"/>
        </w:rPr>
        <w:t xml:space="preserve"> </w:t>
      </w:r>
    </w:p>
    <w:p w14:paraId="6388B3DB" w14:textId="77777777" w:rsidR="00104C0E" w:rsidRPr="007679DA" w:rsidRDefault="00104C0E" w:rsidP="00104C0E">
      <w:pPr>
        <w:pStyle w:val="ListParagraph"/>
        <w:numPr>
          <w:ilvl w:val="0"/>
          <w:numId w:val="25"/>
        </w:numPr>
        <w:spacing w:after="160" w:line="259" w:lineRule="auto"/>
        <w:rPr>
          <w:rFonts w:eastAsiaTheme="minorEastAsia" w:cs="Poppins Light"/>
          <w:b/>
          <w:bCs/>
          <w:color w:val="004C6B" w:themeColor="text1"/>
          <w:sz w:val="24"/>
          <w:szCs w:val="24"/>
        </w:rPr>
      </w:pPr>
      <w:r w:rsidRPr="007679DA">
        <w:rPr>
          <w:rFonts w:eastAsia="Lato" w:cs="Poppins Light"/>
          <w:b/>
          <w:bCs/>
          <w:color w:val="004C6B" w:themeColor="text1"/>
          <w:sz w:val="24"/>
          <w:szCs w:val="24"/>
        </w:rPr>
        <w:t>Project Rationale</w:t>
      </w:r>
    </w:p>
    <w:p w14:paraId="0E68BBFE" w14:textId="77777777" w:rsidR="00104C0E" w:rsidRPr="007679DA" w:rsidRDefault="00104C0E" w:rsidP="00104C0E">
      <w:pPr>
        <w:pStyle w:val="ListParagraph"/>
        <w:numPr>
          <w:ilvl w:val="0"/>
          <w:numId w:val="25"/>
        </w:numPr>
        <w:spacing w:after="160" w:line="259" w:lineRule="auto"/>
        <w:rPr>
          <w:rFonts w:eastAsiaTheme="minorEastAsia" w:cs="Poppins Light"/>
          <w:b/>
          <w:bCs/>
          <w:color w:val="004C6B" w:themeColor="text1"/>
          <w:sz w:val="24"/>
          <w:szCs w:val="24"/>
        </w:rPr>
      </w:pPr>
      <w:r w:rsidRPr="007679DA">
        <w:rPr>
          <w:rFonts w:eastAsia="Lato" w:cs="Poppins Light"/>
          <w:b/>
          <w:bCs/>
          <w:color w:val="004C6B" w:themeColor="text1"/>
          <w:sz w:val="24"/>
          <w:szCs w:val="24"/>
        </w:rPr>
        <w:t>Bristol Discharge to Assess Equality Breakdown</w:t>
      </w:r>
    </w:p>
    <w:p w14:paraId="6300B42C" w14:textId="77777777" w:rsidR="00104C0E" w:rsidRPr="007679DA" w:rsidRDefault="00104C0E" w:rsidP="00104C0E">
      <w:pPr>
        <w:pStyle w:val="ListParagraph"/>
        <w:numPr>
          <w:ilvl w:val="0"/>
          <w:numId w:val="25"/>
        </w:numPr>
        <w:spacing w:after="160" w:line="259" w:lineRule="auto"/>
        <w:rPr>
          <w:rFonts w:eastAsiaTheme="minorEastAsia" w:cs="Poppins Light"/>
          <w:b/>
          <w:bCs/>
          <w:color w:val="004C6B" w:themeColor="text1"/>
          <w:sz w:val="24"/>
          <w:szCs w:val="24"/>
        </w:rPr>
      </w:pPr>
      <w:r w:rsidRPr="007679DA">
        <w:rPr>
          <w:rFonts w:eastAsia="Lato" w:cs="Poppins Light"/>
          <w:b/>
          <w:bCs/>
          <w:color w:val="004C6B" w:themeColor="text1"/>
          <w:sz w:val="24"/>
          <w:szCs w:val="24"/>
        </w:rPr>
        <w:t>Project Equality Methodology Approach</w:t>
      </w:r>
    </w:p>
    <w:p w14:paraId="2D0CDEF7" w14:textId="77777777" w:rsidR="00104C0E" w:rsidRPr="007679DA" w:rsidRDefault="00104C0E" w:rsidP="00104C0E">
      <w:pPr>
        <w:pStyle w:val="ListParagraph"/>
        <w:numPr>
          <w:ilvl w:val="0"/>
          <w:numId w:val="25"/>
        </w:numPr>
        <w:spacing w:after="160" w:line="259" w:lineRule="auto"/>
        <w:rPr>
          <w:rFonts w:eastAsiaTheme="minorEastAsia" w:cs="Poppins Light"/>
          <w:b/>
          <w:bCs/>
          <w:color w:val="004C6B" w:themeColor="text1"/>
          <w:sz w:val="24"/>
          <w:szCs w:val="24"/>
        </w:rPr>
      </w:pPr>
      <w:r w:rsidRPr="007679DA">
        <w:rPr>
          <w:rFonts w:eastAsia="Lato" w:cs="Poppins Light"/>
          <w:b/>
          <w:bCs/>
          <w:color w:val="004C6B" w:themeColor="text1"/>
          <w:sz w:val="24"/>
          <w:szCs w:val="24"/>
        </w:rPr>
        <w:t>Equality Outcomes Assessment</w:t>
      </w:r>
    </w:p>
    <w:p w14:paraId="61D2818B" w14:textId="77777777" w:rsidR="00104C0E" w:rsidRPr="007679DA" w:rsidRDefault="00104C0E" w:rsidP="00104C0E">
      <w:pPr>
        <w:pStyle w:val="ListParagraph"/>
        <w:numPr>
          <w:ilvl w:val="0"/>
          <w:numId w:val="25"/>
        </w:numPr>
        <w:spacing w:after="160" w:line="259" w:lineRule="auto"/>
        <w:rPr>
          <w:rFonts w:eastAsiaTheme="minorEastAsia" w:cs="Poppins Light"/>
          <w:b/>
          <w:bCs/>
          <w:color w:val="004C6B" w:themeColor="text1"/>
          <w:sz w:val="24"/>
          <w:szCs w:val="24"/>
        </w:rPr>
      </w:pPr>
      <w:r w:rsidRPr="007679DA">
        <w:rPr>
          <w:rFonts w:eastAsia="Lato" w:cs="Poppins Light"/>
          <w:b/>
          <w:bCs/>
          <w:color w:val="004C6B" w:themeColor="text1"/>
          <w:sz w:val="24"/>
          <w:szCs w:val="24"/>
        </w:rPr>
        <w:t>Inequalities Principles/Data Profiles</w:t>
      </w:r>
    </w:p>
    <w:p w14:paraId="63C0AD33" w14:textId="037675EB" w:rsidR="00104C0E" w:rsidRDefault="00104C0E" w:rsidP="00104C0E">
      <w:pPr>
        <w:rPr>
          <w:rFonts w:eastAsia="Calibri" w:cs="Poppins Light"/>
          <w:color w:val="002060"/>
        </w:rPr>
      </w:pPr>
    </w:p>
    <w:p w14:paraId="7296610E" w14:textId="0E164821" w:rsidR="00104C0E" w:rsidRDefault="00104C0E" w:rsidP="00104C0E">
      <w:pPr>
        <w:rPr>
          <w:rFonts w:eastAsia="Calibri" w:cs="Poppins Light"/>
          <w:color w:val="002060"/>
        </w:rPr>
      </w:pPr>
    </w:p>
    <w:p w14:paraId="07D9DF27" w14:textId="4C528162" w:rsidR="00104C0E" w:rsidRDefault="00104C0E" w:rsidP="00104C0E">
      <w:pPr>
        <w:rPr>
          <w:rFonts w:eastAsia="Calibri" w:cs="Poppins Light"/>
          <w:color w:val="002060"/>
        </w:rPr>
      </w:pPr>
    </w:p>
    <w:p w14:paraId="143A5882" w14:textId="1D6226C8" w:rsidR="00104C0E" w:rsidRDefault="00104C0E" w:rsidP="00104C0E">
      <w:pPr>
        <w:rPr>
          <w:rFonts w:eastAsia="Calibri" w:cs="Poppins Light"/>
          <w:color w:val="002060"/>
        </w:rPr>
      </w:pPr>
    </w:p>
    <w:p w14:paraId="597678EF" w14:textId="310A3E18" w:rsidR="00104C0E" w:rsidRDefault="00104C0E" w:rsidP="00104C0E">
      <w:pPr>
        <w:rPr>
          <w:rFonts w:eastAsia="Calibri" w:cs="Poppins Light"/>
          <w:color w:val="002060"/>
        </w:rPr>
      </w:pPr>
    </w:p>
    <w:p w14:paraId="70FCED51" w14:textId="32292B05" w:rsidR="00104C0E" w:rsidRDefault="00104C0E" w:rsidP="00104C0E">
      <w:pPr>
        <w:rPr>
          <w:rFonts w:eastAsia="Calibri" w:cs="Poppins Light"/>
          <w:color w:val="002060"/>
        </w:rPr>
      </w:pPr>
    </w:p>
    <w:p w14:paraId="70643C8D" w14:textId="5073CFFA" w:rsidR="00104C0E" w:rsidRDefault="00104C0E" w:rsidP="00104C0E">
      <w:pPr>
        <w:rPr>
          <w:rFonts w:eastAsia="Calibri" w:cs="Poppins Light"/>
          <w:color w:val="002060"/>
        </w:rPr>
      </w:pPr>
    </w:p>
    <w:p w14:paraId="05FE9340" w14:textId="1263A12B" w:rsidR="00104C0E" w:rsidRDefault="00104C0E" w:rsidP="00104C0E">
      <w:pPr>
        <w:rPr>
          <w:rFonts w:eastAsia="Calibri" w:cs="Poppins Light"/>
          <w:color w:val="002060"/>
        </w:rPr>
      </w:pPr>
    </w:p>
    <w:p w14:paraId="132ABAD4" w14:textId="694E0013" w:rsidR="00104C0E" w:rsidRDefault="00104C0E" w:rsidP="00104C0E">
      <w:pPr>
        <w:rPr>
          <w:rFonts w:eastAsia="Calibri" w:cs="Poppins Light"/>
          <w:color w:val="002060"/>
        </w:rPr>
      </w:pPr>
    </w:p>
    <w:p w14:paraId="7065C76B" w14:textId="77777777" w:rsidR="00104C0E" w:rsidRPr="007679DA" w:rsidRDefault="00104C0E" w:rsidP="00104C0E">
      <w:pPr>
        <w:rPr>
          <w:rFonts w:eastAsia="Calibri" w:cs="Poppins Light"/>
          <w:color w:val="002060"/>
        </w:rPr>
      </w:pPr>
    </w:p>
    <w:p w14:paraId="71C17975" w14:textId="77777777" w:rsidR="00104C0E" w:rsidRPr="009F511A" w:rsidRDefault="00104C0E" w:rsidP="00104C0E">
      <w:pPr>
        <w:pStyle w:val="paragraph"/>
        <w:rPr>
          <w:rFonts w:asciiTheme="majorHAnsi" w:eastAsia="Lato" w:hAnsiTheme="majorHAnsi" w:cstheme="majorHAnsi"/>
          <w:color w:val="004C6B" w:themeColor="text1"/>
        </w:rPr>
      </w:pPr>
      <w:r w:rsidRPr="009F511A">
        <w:rPr>
          <w:rFonts w:asciiTheme="majorHAnsi" w:eastAsia="Lato" w:hAnsiTheme="majorHAnsi" w:cstheme="majorHAnsi"/>
          <w:b/>
          <w:bCs/>
          <w:color w:val="004C6B" w:themeColor="text1"/>
        </w:rPr>
        <w:lastRenderedPageBreak/>
        <w:t>1. Project Rationale</w:t>
      </w:r>
    </w:p>
    <w:p w14:paraId="265D67FB" w14:textId="77777777" w:rsidR="00104C0E" w:rsidRPr="007679DA" w:rsidRDefault="00104C0E" w:rsidP="00104C0E">
      <w:pPr>
        <w:pStyle w:val="HWNormalText"/>
      </w:pPr>
      <w:r w:rsidRPr="007679DA">
        <w:t>The discharge to assess model has been implemented since March 2020 with an intention to support more people to be discharged to their own home. Health and social care systems are expected to build on this work during the first half of 2021-22 to embed discharge to assess across England as the default process for hospital discharge during the funded period.  Through a combination of embedding the Discharge to Assess model carries an expectation of the reduction of the length of stay for people in acute care, an improvement in people’s outcomes following a period of rehabilitation and recovery and that it will minimise the need for long-term care at the end of a person’s rehabilitation.</w:t>
      </w:r>
    </w:p>
    <w:p w14:paraId="686AC001" w14:textId="77777777" w:rsidR="00104C0E" w:rsidRPr="007679DA" w:rsidRDefault="00104C0E" w:rsidP="00104C0E">
      <w:pPr>
        <w:pStyle w:val="HWHeading3"/>
        <w:rPr>
          <w:rFonts w:eastAsia="Lato"/>
        </w:rPr>
      </w:pPr>
      <w:r w:rsidRPr="007679DA">
        <w:rPr>
          <w:rFonts w:eastAsia="Lato"/>
        </w:rPr>
        <w:t xml:space="preserve">The EIA works to highlight the areas where the topic exacerbates inequality and to focus on ways to mitigate this with both design and outcomes </w:t>
      </w:r>
    </w:p>
    <w:p w14:paraId="6254CC90" w14:textId="77777777" w:rsidR="00104C0E" w:rsidRPr="007679DA" w:rsidRDefault="00104C0E" w:rsidP="00104C0E">
      <w:pPr>
        <w:rPr>
          <w:rFonts w:eastAsia="Calibri" w:cs="Poppins Light"/>
          <w:color w:val="002060"/>
        </w:rPr>
      </w:pPr>
    </w:p>
    <w:tbl>
      <w:tblPr>
        <w:tblStyle w:val="TableGrid"/>
        <w:tblW w:w="9348" w:type="dxa"/>
        <w:tblLayout w:type="fixed"/>
        <w:tblLook w:val="04A0" w:firstRow="1" w:lastRow="0" w:firstColumn="1" w:lastColumn="0" w:noHBand="0" w:noVBand="1"/>
      </w:tblPr>
      <w:tblGrid>
        <w:gridCol w:w="3926"/>
        <w:gridCol w:w="2949"/>
        <w:gridCol w:w="2473"/>
      </w:tblGrid>
      <w:tr w:rsidR="00104C0E" w:rsidRPr="007679DA" w14:paraId="243934B6" w14:textId="77777777" w:rsidTr="00712989">
        <w:trPr>
          <w:cnfStyle w:val="100000000000" w:firstRow="1" w:lastRow="0" w:firstColumn="0" w:lastColumn="0" w:oddVBand="0" w:evenVBand="0" w:oddHBand="0" w:evenHBand="0" w:firstRowFirstColumn="0" w:firstRowLastColumn="0" w:lastRowFirstColumn="0" w:lastRowLastColumn="0"/>
          <w:trHeight w:val="360"/>
        </w:trPr>
        <w:tc>
          <w:tcPr>
            <w:tcW w:w="3930" w:type="dxa"/>
          </w:tcPr>
          <w:p w14:paraId="6A38A739" w14:textId="77777777" w:rsidR="00104C0E" w:rsidRPr="00CD754E" w:rsidRDefault="00104C0E" w:rsidP="00712989">
            <w:pPr>
              <w:spacing w:line="240" w:lineRule="auto"/>
              <w:jc w:val="center"/>
              <w:rPr>
                <w:rFonts w:eastAsia="Trebuchet MS" w:cs="Poppins Light"/>
                <w:sz w:val="24"/>
                <w:szCs w:val="24"/>
              </w:rPr>
            </w:pPr>
            <w:r w:rsidRPr="00CD754E">
              <w:rPr>
                <w:rFonts w:eastAsia="Trebuchet MS" w:cs="Poppins Light"/>
                <w:b/>
                <w:bCs/>
                <w:sz w:val="24"/>
                <w:szCs w:val="24"/>
              </w:rPr>
              <w:t>Project Name</w:t>
            </w:r>
            <w:r w:rsidRPr="00CD754E">
              <w:rPr>
                <w:rFonts w:eastAsia="Trebuchet MS" w:cs="Poppins Light"/>
                <w:sz w:val="24"/>
                <w:szCs w:val="24"/>
              </w:rPr>
              <w:t> </w:t>
            </w:r>
          </w:p>
          <w:p w14:paraId="1A7419AA" w14:textId="77777777" w:rsidR="00104C0E" w:rsidRPr="00CD754E" w:rsidRDefault="00104C0E" w:rsidP="00712989">
            <w:pPr>
              <w:spacing w:line="240" w:lineRule="auto"/>
              <w:jc w:val="center"/>
              <w:rPr>
                <w:rFonts w:eastAsia="Trebuchet MS" w:cs="Poppins Light"/>
                <w:sz w:val="24"/>
                <w:szCs w:val="24"/>
              </w:rPr>
            </w:pPr>
            <w:r w:rsidRPr="00CD754E">
              <w:rPr>
                <w:rFonts w:eastAsia="Trebuchet MS" w:cs="Poppins Light"/>
                <w:sz w:val="24"/>
                <w:szCs w:val="24"/>
              </w:rPr>
              <w:t> </w:t>
            </w:r>
          </w:p>
        </w:tc>
        <w:tc>
          <w:tcPr>
            <w:tcW w:w="2955" w:type="dxa"/>
          </w:tcPr>
          <w:p w14:paraId="73094E12" w14:textId="77777777" w:rsidR="00104C0E" w:rsidRPr="00CD754E" w:rsidRDefault="00104C0E" w:rsidP="00712989">
            <w:pPr>
              <w:spacing w:line="240" w:lineRule="auto"/>
              <w:jc w:val="center"/>
              <w:rPr>
                <w:rFonts w:eastAsia="Trebuchet MS" w:cs="Poppins Light"/>
                <w:sz w:val="24"/>
                <w:szCs w:val="24"/>
              </w:rPr>
            </w:pPr>
            <w:r w:rsidRPr="00CD754E">
              <w:rPr>
                <w:rFonts w:eastAsia="Trebuchet MS" w:cs="Poppins Light"/>
                <w:b/>
                <w:bCs/>
                <w:sz w:val="24"/>
                <w:szCs w:val="24"/>
              </w:rPr>
              <w:t>Lead Staff / Volunteer</w:t>
            </w:r>
            <w:r w:rsidRPr="00CD754E">
              <w:rPr>
                <w:rFonts w:eastAsia="Trebuchet MS" w:cs="Poppins Light"/>
                <w:sz w:val="24"/>
                <w:szCs w:val="24"/>
              </w:rPr>
              <w:t> </w:t>
            </w:r>
          </w:p>
        </w:tc>
        <w:tc>
          <w:tcPr>
            <w:tcW w:w="2463" w:type="dxa"/>
          </w:tcPr>
          <w:p w14:paraId="4704F509" w14:textId="77777777" w:rsidR="00104C0E" w:rsidRPr="00CD754E" w:rsidRDefault="00104C0E" w:rsidP="00712989">
            <w:pPr>
              <w:spacing w:line="240" w:lineRule="auto"/>
              <w:jc w:val="center"/>
              <w:rPr>
                <w:rFonts w:eastAsia="Trebuchet MS" w:cs="Poppins Light"/>
                <w:sz w:val="24"/>
                <w:szCs w:val="24"/>
              </w:rPr>
            </w:pPr>
            <w:r w:rsidRPr="00CD754E">
              <w:rPr>
                <w:rFonts w:eastAsia="Trebuchet MS" w:cs="Poppins Light"/>
                <w:b/>
                <w:bCs/>
                <w:sz w:val="24"/>
                <w:szCs w:val="24"/>
              </w:rPr>
              <w:t>Date of Assessment</w:t>
            </w:r>
            <w:r w:rsidRPr="00CD754E">
              <w:rPr>
                <w:rFonts w:eastAsia="Trebuchet MS" w:cs="Poppins Light"/>
                <w:sz w:val="24"/>
                <w:szCs w:val="24"/>
              </w:rPr>
              <w:t> </w:t>
            </w:r>
          </w:p>
        </w:tc>
      </w:tr>
      <w:tr w:rsidR="00104C0E" w:rsidRPr="007679DA" w14:paraId="1D85D883" w14:textId="77777777" w:rsidTr="00712989">
        <w:trPr>
          <w:cnfStyle w:val="000000100000" w:firstRow="0" w:lastRow="0" w:firstColumn="0" w:lastColumn="0" w:oddVBand="0" w:evenVBand="0" w:oddHBand="1" w:evenHBand="0" w:firstRowFirstColumn="0" w:firstRowLastColumn="0" w:lastRowFirstColumn="0" w:lastRowLastColumn="0"/>
        </w:trPr>
        <w:tc>
          <w:tcPr>
            <w:tcW w:w="3930" w:type="dxa"/>
          </w:tcPr>
          <w:p w14:paraId="41A7E6CF" w14:textId="77777777" w:rsidR="00104C0E" w:rsidRPr="00CD754E" w:rsidRDefault="00104C0E" w:rsidP="00712989">
            <w:pPr>
              <w:spacing w:line="240" w:lineRule="auto"/>
              <w:rPr>
                <w:rFonts w:eastAsia="Lato" w:cs="Poppins Light"/>
              </w:rPr>
            </w:pPr>
            <w:r w:rsidRPr="00CD754E">
              <w:rPr>
                <w:rFonts w:eastAsia="Lato" w:cs="Poppins Light"/>
              </w:rPr>
              <w:t> Bristol D2A Pathway 3 -Experiential      Outcomes 2021</w:t>
            </w:r>
          </w:p>
        </w:tc>
        <w:tc>
          <w:tcPr>
            <w:tcW w:w="2955" w:type="dxa"/>
          </w:tcPr>
          <w:p w14:paraId="614E71FB" w14:textId="77777777" w:rsidR="00104C0E" w:rsidRPr="00CD754E" w:rsidRDefault="00104C0E" w:rsidP="00712989">
            <w:pPr>
              <w:spacing w:line="240" w:lineRule="auto"/>
              <w:rPr>
                <w:rFonts w:eastAsia="Lato" w:cs="Poppins Light"/>
              </w:rPr>
            </w:pPr>
            <w:r w:rsidRPr="00CD754E">
              <w:rPr>
                <w:rFonts w:eastAsia="Lato" w:cs="Poppins Light"/>
              </w:rPr>
              <w:t> Julie Bird – Area Lead</w:t>
            </w:r>
          </w:p>
        </w:tc>
        <w:tc>
          <w:tcPr>
            <w:tcW w:w="2463" w:type="dxa"/>
          </w:tcPr>
          <w:p w14:paraId="1977A1C6" w14:textId="77777777" w:rsidR="00104C0E" w:rsidRPr="00CD754E" w:rsidRDefault="00104C0E" w:rsidP="00712989">
            <w:pPr>
              <w:spacing w:line="240" w:lineRule="auto"/>
              <w:rPr>
                <w:rFonts w:eastAsia="Lato" w:cs="Poppins Light"/>
              </w:rPr>
            </w:pPr>
            <w:r w:rsidRPr="00CD754E">
              <w:rPr>
                <w:rFonts w:eastAsia="Lato" w:cs="Poppins Light"/>
              </w:rPr>
              <w:t>  October 2021</w:t>
            </w:r>
          </w:p>
        </w:tc>
      </w:tr>
      <w:tr w:rsidR="00104C0E" w:rsidRPr="007679DA" w14:paraId="6AF1E037" w14:textId="77777777" w:rsidTr="00712989">
        <w:trPr>
          <w:cnfStyle w:val="000000010000" w:firstRow="0" w:lastRow="0" w:firstColumn="0" w:lastColumn="0" w:oddVBand="0" w:evenVBand="0" w:oddHBand="0" w:evenHBand="1" w:firstRowFirstColumn="0" w:firstRowLastColumn="0" w:lastRowFirstColumn="0" w:lastRowLastColumn="0"/>
          <w:trHeight w:val="900"/>
        </w:trPr>
        <w:tc>
          <w:tcPr>
            <w:tcW w:w="9348" w:type="dxa"/>
            <w:gridSpan w:val="3"/>
          </w:tcPr>
          <w:p w14:paraId="32CFDA2E" w14:textId="77777777" w:rsidR="00104C0E" w:rsidRPr="007679DA" w:rsidRDefault="00104C0E" w:rsidP="00712989">
            <w:pPr>
              <w:spacing w:before="300" w:after="300" w:line="240" w:lineRule="auto"/>
              <w:rPr>
                <w:rFonts w:eastAsia="Lato" w:cs="Poppins Light"/>
                <w:color w:val="82104C" w:themeColor="accent1" w:themeShade="80"/>
                <w:sz w:val="24"/>
                <w:szCs w:val="24"/>
              </w:rPr>
            </w:pPr>
            <w:r w:rsidRPr="00CD754E">
              <w:rPr>
                <w:rFonts w:eastAsia="Lato" w:cs="Poppins Light"/>
                <w:sz w:val="24"/>
                <w:szCs w:val="24"/>
              </w:rPr>
              <w:t>The project will explore the expectations, experiences and outcomes for patient and families during their pathway 3 process from hospital admission through care, placement, and the return to home settings. It will look at the issues and expectations of patients and at the professional decisions that inform these.  The project aims to engage staff across the process teams, from those involved in assessment, treatment, care, and administration. It will chart the qualitative comments of patients, carers, friends &amp; family and explore their experiences through surveys and one to one interview in a longitudinal study. It will seek to make recommendations that provide better outcomes for patients in terms of communication, non-readmission, and quality of experience. It will highlight improvements and good practice where information pertaining to this is uncovered.</w:t>
            </w:r>
          </w:p>
        </w:tc>
      </w:tr>
    </w:tbl>
    <w:p w14:paraId="5C337F16" w14:textId="77777777" w:rsidR="00104C0E" w:rsidRPr="007679DA" w:rsidRDefault="00104C0E" w:rsidP="00104C0E">
      <w:pPr>
        <w:rPr>
          <w:rFonts w:eastAsia="Lato" w:cs="Poppins Light"/>
          <w:color w:val="002060"/>
          <w:sz w:val="24"/>
          <w:szCs w:val="24"/>
        </w:rPr>
      </w:pPr>
    </w:p>
    <w:p w14:paraId="3E9F586B"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t>JSNA- Health &amp; Wellbeing Profile 2020/21</w:t>
      </w:r>
      <w:r>
        <w:rPr>
          <w:rFonts w:eastAsia="Trebuchet MS" w:cs="Poppins Light"/>
          <w:sz w:val="24"/>
          <w:szCs w:val="24"/>
        </w:rPr>
        <w:t xml:space="preserve"> </w:t>
      </w:r>
      <w:r w:rsidRPr="00CD754E">
        <w:rPr>
          <w:rFonts w:eastAsia="Trebuchet MS" w:cs="Poppins Light"/>
          <w:sz w:val="24"/>
          <w:szCs w:val="24"/>
        </w:rPr>
        <w:t>- Rationale that patients will still receive high quality care from acute and community hospitals but will no longer be able to stay in a bed when this is unnecessary. There are no longer social work hospital teams based at BRI or Southmead and these are now multiagency (Sirona community &amp; integrated care bureau) who manage all single referral forms. All supported discharges now receive intermediate care in a community bed or their own home</w:t>
      </w:r>
      <w:r>
        <w:rPr>
          <w:rFonts w:eastAsia="Trebuchet MS" w:cs="Poppins Light"/>
          <w:sz w:val="24"/>
          <w:szCs w:val="24"/>
        </w:rPr>
        <w:t>.</w:t>
      </w:r>
    </w:p>
    <w:p w14:paraId="020FCA28"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t>Adult social care strategic plan 2016</w:t>
      </w:r>
      <w:r>
        <w:rPr>
          <w:rFonts w:eastAsia="Trebuchet MS" w:cs="Poppins Light"/>
          <w:sz w:val="24"/>
          <w:szCs w:val="24"/>
        </w:rPr>
        <w:t xml:space="preserve"> </w:t>
      </w:r>
      <w:r w:rsidRPr="00CD754E">
        <w:rPr>
          <w:rFonts w:eastAsia="Trebuchet MS" w:cs="Poppins Light"/>
          <w:sz w:val="24"/>
          <w:szCs w:val="24"/>
        </w:rPr>
        <w:t xml:space="preserve">- Vision statement </w:t>
      </w:r>
    </w:p>
    <w:p w14:paraId="32CB065F"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lastRenderedPageBreak/>
        <w:t xml:space="preserve">Vision: People can get the right level and type of support, at the right time to help prevent, reduce, or delay the need for ongoing support, and to maximise people’s independence. </w:t>
      </w:r>
    </w:p>
    <w:p w14:paraId="31C039F0"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t>Social Care strategy 2021</w:t>
      </w:r>
    </w:p>
    <w:p w14:paraId="367B8B59"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t>Hugh Evans, Executive Director (People) August 2020 presented the need for appropriate discharge as a priority whilst giving a strategic update to the Health Scrutiny Panel. This included plans that the mobilisation of efficient ‘whole system’ ‘out of hospital’ service approaches including ‘Home First’ should address the previously ineffective discharge system.</w:t>
      </w:r>
    </w:p>
    <w:p w14:paraId="3C9DA309" w14:textId="77777777" w:rsidR="00104C0E" w:rsidRPr="00CD754E" w:rsidRDefault="00104C0E" w:rsidP="00104C0E">
      <w:pPr>
        <w:spacing w:before="240"/>
        <w:rPr>
          <w:rFonts w:eastAsia="Trebuchet MS" w:cs="Poppins Light"/>
          <w:sz w:val="24"/>
          <w:szCs w:val="24"/>
        </w:rPr>
      </w:pPr>
      <w:r w:rsidRPr="00CD754E">
        <w:rPr>
          <w:rFonts w:eastAsia="Trebuchet MS" w:cs="Poppins Light"/>
          <w:sz w:val="24"/>
          <w:szCs w:val="24"/>
        </w:rPr>
        <w:t xml:space="preserve">Bristol Healthwatch Prioritisation Scoring Matrix - 2021 </w:t>
      </w:r>
    </w:p>
    <w:p w14:paraId="0684519C" w14:textId="77777777" w:rsidR="00104C0E" w:rsidRDefault="00104C0E" w:rsidP="00104C0E">
      <w:pPr>
        <w:spacing w:before="240"/>
        <w:rPr>
          <w:rFonts w:eastAsia="Trebuchet MS" w:cs="Poppins Light"/>
          <w:sz w:val="24"/>
          <w:szCs w:val="24"/>
        </w:rPr>
      </w:pPr>
      <w:r w:rsidRPr="00CD754E">
        <w:rPr>
          <w:rFonts w:eastAsia="Trebuchet MS" w:cs="Poppins Light"/>
          <w:sz w:val="24"/>
          <w:szCs w:val="24"/>
        </w:rPr>
        <w:t>The recommendation to investigate Discharge to Assess was adopted as it reached the internal maximum threshold for priority scoring. The need to investigate discharge and the social care capacity and assessing the effectiveness of integrated care was approved</w:t>
      </w:r>
    </w:p>
    <w:p w14:paraId="1D3B9023" w14:textId="77777777" w:rsidR="00104C0E" w:rsidRDefault="00104C0E" w:rsidP="00104C0E">
      <w:pPr>
        <w:spacing w:before="240"/>
        <w:rPr>
          <w:rFonts w:eastAsia="Trebuchet MS" w:cs="Poppins Light"/>
          <w:sz w:val="24"/>
          <w:szCs w:val="24"/>
        </w:rPr>
      </w:pPr>
    </w:p>
    <w:p w14:paraId="1115469D" w14:textId="77777777" w:rsidR="00104C0E" w:rsidRDefault="00104C0E" w:rsidP="00104C0E">
      <w:pPr>
        <w:spacing w:before="240"/>
        <w:rPr>
          <w:rFonts w:eastAsia="Trebuchet MS" w:cs="Poppins Light"/>
          <w:sz w:val="24"/>
          <w:szCs w:val="24"/>
        </w:rPr>
      </w:pPr>
    </w:p>
    <w:p w14:paraId="7842BBD7" w14:textId="68460AAB" w:rsidR="00104C0E" w:rsidRDefault="00104C0E" w:rsidP="00104C0E">
      <w:pPr>
        <w:spacing w:before="240"/>
        <w:rPr>
          <w:rFonts w:eastAsia="Trebuchet MS" w:cs="Poppins Light"/>
          <w:sz w:val="24"/>
          <w:szCs w:val="24"/>
        </w:rPr>
      </w:pPr>
    </w:p>
    <w:p w14:paraId="62142D44" w14:textId="3B19802A" w:rsidR="00104C0E" w:rsidRDefault="00104C0E" w:rsidP="00104C0E">
      <w:pPr>
        <w:spacing w:before="240"/>
        <w:rPr>
          <w:rFonts w:eastAsia="Trebuchet MS" w:cs="Poppins Light"/>
          <w:sz w:val="24"/>
          <w:szCs w:val="24"/>
        </w:rPr>
      </w:pPr>
    </w:p>
    <w:p w14:paraId="5C56ABC4" w14:textId="0408563F" w:rsidR="00104C0E" w:rsidRDefault="00104C0E" w:rsidP="00104C0E">
      <w:pPr>
        <w:spacing w:before="240"/>
        <w:rPr>
          <w:rFonts w:eastAsia="Trebuchet MS" w:cs="Poppins Light"/>
          <w:sz w:val="24"/>
          <w:szCs w:val="24"/>
        </w:rPr>
      </w:pPr>
    </w:p>
    <w:p w14:paraId="4EE172C5" w14:textId="39FCDF23" w:rsidR="00104C0E" w:rsidRDefault="00104C0E" w:rsidP="00104C0E">
      <w:pPr>
        <w:spacing w:before="240"/>
        <w:rPr>
          <w:rFonts w:eastAsia="Trebuchet MS" w:cs="Poppins Light"/>
          <w:sz w:val="24"/>
          <w:szCs w:val="24"/>
        </w:rPr>
      </w:pPr>
    </w:p>
    <w:p w14:paraId="350906F3" w14:textId="365C6BD3" w:rsidR="00104C0E" w:rsidRDefault="00104C0E" w:rsidP="00104C0E">
      <w:pPr>
        <w:spacing w:before="240"/>
        <w:rPr>
          <w:rFonts w:eastAsia="Trebuchet MS" w:cs="Poppins Light"/>
          <w:sz w:val="24"/>
          <w:szCs w:val="24"/>
        </w:rPr>
      </w:pPr>
    </w:p>
    <w:p w14:paraId="12A14570" w14:textId="4FF18D9D" w:rsidR="00104C0E" w:rsidRDefault="00104C0E" w:rsidP="00104C0E">
      <w:pPr>
        <w:spacing w:before="240"/>
        <w:rPr>
          <w:rFonts w:eastAsia="Trebuchet MS" w:cs="Poppins Light"/>
          <w:sz w:val="24"/>
          <w:szCs w:val="24"/>
        </w:rPr>
      </w:pPr>
    </w:p>
    <w:p w14:paraId="00D29528" w14:textId="29B0E032" w:rsidR="00104C0E" w:rsidRDefault="00104C0E" w:rsidP="00104C0E">
      <w:pPr>
        <w:spacing w:before="240"/>
        <w:rPr>
          <w:rFonts w:eastAsia="Trebuchet MS" w:cs="Poppins Light"/>
          <w:sz w:val="24"/>
          <w:szCs w:val="24"/>
        </w:rPr>
      </w:pPr>
    </w:p>
    <w:p w14:paraId="0195AEA4" w14:textId="66598BB3" w:rsidR="00104C0E" w:rsidRDefault="00104C0E" w:rsidP="00104C0E">
      <w:pPr>
        <w:spacing w:before="240"/>
        <w:rPr>
          <w:rFonts w:eastAsia="Trebuchet MS" w:cs="Poppins Light"/>
          <w:sz w:val="24"/>
          <w:szCs w:val="24"/>
        </w:rPr>
      </w:pPr>
    </w:p>
    <w:p w14:paraId="14514A7B" w14:textId="0DA2FBFF" w:rsidR="00104C0E" w:rsidRDefault="00104C0E" w:rsidP="00104C0E">
      <w:pPr>
        <w:spacing w:before="240"/>
        <w:rPr>
          <w:rFonts w:eastAsia="Trebuchet MS" w:cs="Poppins Light"/>
          <w:sz w:val="24"/>
          <w:szCs w:val="24"/>
        </w:rPr>
      </w:pPr>
    </w:p>
    <w:p w14:paraId="40AA18AA" w14:textId="5880FFFB" w:rsidR="00104C0E" w:rsidRDefault="00104C0E" w:rsidP="00104C0E">
      <w:pPr>
        <w:spacing w:before="240"/>
        <w:rPr>
          <w:rFonts w:eastAsia="Trebuchet MS" w:cs="Poppins Light"/>
          <w:sz w:val="24"/>
          <w:szCs w:val="24"/>
        </w:rPr>
      </w:pPr>
    </w:p>
    <w:p w14:paraId="67E9324C" w14:textId="783B7FF2" w:rsidR="00104C0E" w:rsidRDefault="00104C0E" w:rsidP="00104C0E">
      <w:pPr>
        <w:spacing w:before="240"/>
        <w:rPr>
          <w:rFonts w:eastAsia="Trebuchet MS" w:cs="Poppins Light"/>
          <w:sz w:val="24"/>
          <w:szCs w:val="24"/>
        </w:rPr>
      </w:pPr>
    </w:p>
    <w:p w14:paraId="1DA86E29" w14:textId="6196EF7D" w:rsidR="00104C0E" w:rsidRDefault="00104C0E" w:rsidP="00104C0E">
      <w:pPr>
        <w:spacing w:before="240"/>
        <w:rPr>
          <w:rFonts w:eastAsia="Trebuchet MS" w:cs="Poppins Light"/>
          <w:sz w:val="24"/>
          <w:szCs w:val="24"/>
        </w:rPr>
      </w:pPr>
    </w:p>
    <w:p w14:paraId="766E6B05" w14:textId="050C8C24" w:rsidR="00104C0E" w:rsidRDefault="00104C0E" w:rsidP="00104C0E">
      <w:pPr>
        <w:spacing w:before="240"/>
        <w:rPr>
          <w:rFonts w:eastAsia="Trebuchet MS" w:cs="Poppins Light"/>
          <w:sz w:val="24"/>
          <w:szCs w:val="24"/>
        </w:rPr>
      </w:pPr>
    </w:p>
    <w:p w14:paraId="4D68F527" w14:textId="4E91BC39" w:rsidR="00104C0E" w:rsidRDefault="00104C0E" w:rsidP="00104C0E">
      <w:pPr>
        <w:spacing w:before="240"/>
        <w:rPr>
          <w:rFonts w:eastAsia="Trebuchet MS" w:cs="Poppins Light"/>
          <w:sz w:val="24"/>
          <w:szCs w:val="24"/>
        </w:rPr>
      </w:pPr>
    </w:p>
    <w:p w14:paraId="47EEB57E" w14:textId="2BB573FF" w:rsidR="00104C0E" w:rsidRDefault="00104C0E" w:rsidP="00104C0E">
      <w:pPr>
        <w:spacing w:before="240"/>
        <w:rPr>
          <w:rFonts w:eastAsia="Trebuchet MS" w:cs="Poppins Light"/>
          <w:sz w:val="24"/>
          <w:szCs w:val="24"/>
        </w:rPr>
      </w:pPr>
    </w:p>
    <w:p w14:paraId="6B2FD394" w14:textId="77777777" w:rsidR="00104C0E" w:rsidRDefault="00104C0E" w:rsidP="00104C0E">
      <w:pPr>
        <w:spacing w:before="240"/>
        <w:rPr>
          <w:rFonts w:eastAsia="Trebuchet MS" w:cs="Poppins Light"/>
          <w:sz w:val="24"/>
          <w:szCs w:val="24"/>
        </w:rPr>
      </w:pPr>
    </w:p>
    <w:p w14:paraId="332D19E6" w14:textId="77777777" w:rsidR="00104C0E" w:rsidRDefault="00104C0E" w:rsidP="00104C0E">
      <w:pPr>
        <w:spacing w:before="240"/>
        <w:rPr>
          <w:rFonts w:eastAsia="Trebuchet MS" w:cs="Poppins Light"/>
          <w:sz w:val="24"/>
          <w:szCs w:val="24"/>
        </w:rPr>
      </w:pPr>
    </w:p>
    <w:p w14:paraId="64474A85" w14:textId="77777777" w:rsidR="00104C0E" w:rsidRPr="00CD754E" w:rsidRDefault="00104C0E" w:rsidP="00104C0E">
      <w:pPr>
        <w:spacing w:before="240"/>
        <w:rPr>
          <w:rFonts w:eastAsia="Trebuchet MS" w:cs="Poppins Light"/>
          <w:sz w:val="24"/>
          <w:szCs w:val="24"/>
        </w:rPr>
      </w:pPr>
    </w:p>
    <w:p w14:paraId="1E02B27A" w14:textId="7487362D" w:rsidR="00104C0E" w:rsidRDefault="00104C0E" w:rsidP="00104C0E">
      <w:pPr>
        <w:rPr>
          <w:rFonts w:asciiTheme="majorHAnsi" w:eastAsia="Lato" w:hAnsiTheme="majorHAnsi" w:cstheme="majorHAnsi"/>
          <w:b/>
          <w:bCs/>
          <w:color w:val="004C6B" w:themeColor="text1"/>
          <w:sz w:val="24"/>
          <w:szCs w:val="24"/>
        </w:rPr>
      </w:pPr>
      <w:r w:rsidRPr="009F511A">
        <w:rPr>
          <w:rFonts w:asciiTheme="majorHAnsi" w:eastAsia="Lato" w:hAnsiTheme="majorHAnsi" w:cstheme="majorHAnsi"/>
          <w:b/>
          <w:bCs/>
          <w:color w:val="004C6B" w:themeColor="text1"/>
          <w:sz w:val="24"/>
          <w:szCs w:val="24"/>
        </w:rPr>
        <w:t>2. Bristol Discharge to Assess Equality Breakdown</w:t>
      </w:r>
    </w:p>
    <w:p w14:paraId="023663E6" w14:textId="77777777" w:rsidR="00104C0E" w:rsidRPr="009F511A" w:rsidRDefault="00104C0E" w:rsidP="00104C0E">
      <w:pPr>
        <w:rPr>
          <w:rFonts w:asciiTheme="majorHAnsi" w:eastAsia="Lato" w:hAnsiTheme="majorHAnsi" w:cstheme="majorHAnsi"/>
          <w:color w:val="004C6B" w:themeColor="text1"/>
          <w:sz w:val="24"/>
          <w:szCs w:val="24"/>
        </w:rPr>
      </w:pPr>
    </w:p>
    <w:tbl>
      <w:tblPr>
        <w:tblStyle w:val="TableGrid"/>
        <w:tblW w:w="9209" w:type="dxa"/>
        <w:tblLayout w:type="fixed"/>
        <w:tblLook w:val="04A0" w:firstRow="1" w:lastRow="0" w:firstColumn="1" w:lastColumn="0" w:noHBand="0" w:noVBand="1"/>
      </w:tblPr>
      <w:tblGrid>
        <w:gridCol w:w="2796"/>
        <w:gridCol w:w="2682"/>
        <w:gridCol w:w="3731"/>
      </w:tblGrid>
      <w:tr w:rsidR="00104C0E" w:rsidRPr="007679DA" w14:paraId="69EB9824" w14:textId="77777777" w:rsidTr="00712989">
        <w:trPr>
          <w:cnfStyle w:val="100000000000" w:firstRow="1" w:lastRow="0" w:firstColumn="0" w:lastColumn="0" w:oddVBand="0" w:evenVBand="0" w:oddHBand="0" w:evenHBand="0" w:firstRowFirstColumn="0" w:firstRowLastColumn="0" w:lastRowFirstColumn="0" w:lastRowLastColumn="0"/>
          <w:trHeight w:val="300"/>
        </w:trPr>
        <w:tc>
          <w:tcPr>
            <w:tcW w:w="9209" w:type="dxa"/>
            <w:gridSpan w:val="3"/>
            <w:shd w:val="clear" w:color="auto" w:fill="F5B1D5" w:themeFill="accent1" w:themeFillTint="66"/>
          </w:tcPr>
          <w:p w14:paraId="6885A3D9" w14:textId="77777777" w:rsidR="00104C0E" w:rsidRPr="007679DA" w:rsidRDefault="00104C0E" w:rsidP="00712989">
            <w:pPr>
              <w:rPr>
                <w:rFonts w:eastAsia="Trebuchet MS" w:cs="Poppins Light"/>
                <w:color w:val="82104C" w:themeColor="accent1" w:themeShade="80"/>
                <w:sz w:val="24"/>
                <w:szCs w:val="24"/>
              </w:rPr>
            </w:pPr>
            <w:r w:rsidRPr="00CD754E">
              <w:rPr>
                <w:rFonts w:eastAsia="Lato" w:cs="Poppins Light"/>
                <w:b/>
                <w:bCs/>
                <w:sz w:val="24"/>
                <w:szCs w:val="24"/>
              </w:rPr>
              <w:t>Statistical Breakdown   Bristol Population 2021   Project Participants 2021</w:t>
            </w:r>
          </w:p>
        </w:tc>
      </w:tr>
      <w:tr w:rsidR="00104C0E" w:rsidRPr="007679DA" w14:paraId="691D774B"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0E3894E4"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Female</w:t>
            </w:r>
          </w:p>
        </w:tc>
        <w:tc>
          <w:tcPr>
            <w:tcW w:w="2685" w:type="dxa"/>
          </w:tcPr>
          <w:p w14:paraId="2BB4B350"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50%</w:t>
            </w:r>
          </w:p>
        </w:tc>
        <w:tc>
          <w:tcPr>
            <w:tcW w:w="3734" w:type="dxa"/>
          </w:tcPr>
          <w:p w14:paraId="4E4FDEA6"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76%</w:t>
            </w:r>
          </w:p>
        </w:tc>
      </w:tr>
      <w:tr w:rsidR="00104C0E" w:rsidRPr="007679DA" w14:paraId="5242A4EC"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2A767527"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Male</w:t>
            </w:r>
          </w:p>
        </w:tc>
        <w:tc>
          <w:tcPr>
            <w:tcW w:w="2685" w:type="dxa"/>
          </w:tcPr>
          <w:p w14:paraId="1D792B24"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50%</w:t>
            </w:r>
          </w:p>
        </w:tc>
        <w:tc>
          <w:tcPr>
            <w:tcW w:w="3734" w:type="dxa"/>
          </w:tcPr>
          <w:p w14:paraId="4C78D2FA"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24%</w:t>
            </w:r>
          </w:p>
        </w:tc>
      </w:tr>
      <w:tr w:rsidR="00104C0E" w:rsidRPr="007679DA" w14:paraId="4D146B96"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9209" w:type="dxa"/>
            <w:gridSpan w:val="3"/>
            <w:shd w:val="clear" w:color="auto" w:fill="F5B1D5" w:themeFill="accent1" w:themeFillTint="66"/>
          </w:tcPr>
          <w:p w14:paraId="61BDE559" w14:textId="77777777" w:rsidR="00104C0E" w:rsidRPr="00CD754E" w:rsidRDefault="00104C0E" w:rsidP="00712989">
            <w:pPr>
              <w:ind w:left="720"/>
              <w:jc w:val="right"/>
              <w:rPr>
                <w:rFonts w:eastAsia="Trebuchet MS" w:cs="Poppins Light"/>
                <w:sz w:val="24"/>
                <w:szCs w:val="24"/>
              </w:rPr>
            </w:pPr>
          </w:p>
        </w:tc>
      </w:tr>
      <w:tr w:rsidR="00104C0E" w:rsidRPr="007679DA" w14:paraId="35E547E9"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237034AF"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Disabled</w:t>
            </w:r>
          </w:p>
        </w:tc>
        <w:tc>
          <w:tcPr>
            <w:tcW w:w="2685" w:type="dxa"/>
          </w:tcPr>
          <w:p w14:paraId="22A1D33A"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17%</w:t>
            </w:r>
          </w:p>
        </w:tc>
        <w:tc>
          <w:tcPr>
            <w:tcW w:w="3734" w:type="dxa"/>
          </w:tcPr>
          <w:p w14:paraId="35310DA5"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49%</w:t>
            </w:r>
          </w:p>
        </w:tc>
      </w:tr>
      <w:tr w:rsidR="00104C0E" w:rsidRPr="007679DA" w14:paraId="7095C6FE"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38048EBC"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Non-disabled </w:t>
            </w:r>
          </w:p>
        </w:tc>
        <w:tc>
          <w:tcPr>
            <w:tcW w:w="2685" w:type="dxa"/>
          </w:tcPr>
          <w:p w14:paraId="21E49B04"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83%</w:t>
            </w:r>
          </w:p>
        </w:tc>
        <w:tc>
          <w:tcPr>
            <w:tcW w:w="3734" w:type="dxa"/>
          </w:tcPr>
          <w:p w14:paraId="5A1B9E53"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51%</w:t>
            </w:r>
          </w:p>
        </w:tc>
      </w:tr>
      <w:tr w:rsidR="00104C0E" w:rsidRPr="007679DA" w14:paraId="413D3DD0"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9209" w:type="dxa"/>
            <w:gridSpan w:val="3"/>
            <w:shd w:val="clear" w:color="auto" w:fill="F5B1D5" w:themeFill="accent1" w:themeFillTint="66"/>
          </w:tcPr>
          <w:p w14:paraId="3CFFED3E" w14:textId="77777777" w:rsidR="00104C0E" w:rsidRPr="00CD754E" w:rsidRDefault="00104C0E" w:rsidP="00712989">
            <w:pPr>
              <w:ind w:left="720"/>
              <w:jc w:val="right"/>
              <w:rPr>
                <w:rFonts w:eastAsia="Trebuchet MS" w:cs="Poppins Light"/>
                <w:sz w:val="24"/>
                <w:szCs w:val="24"/>
              </w:rPr>
            </w:pPr>
          </w:p>
        </w:tc>
      </w:tr>
      <w:tr w:rsidR="00104C0E" w:rsidRPr="007679DA" w14:paraId="40E8DEFD"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657929AE"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Bisexual</w:t>
            </w:r>
          </w:p>
        </w:tc>
        <w:tc>
          <w:tcPr>
            <w:tcW w:w="2685" w:type="dxa"/>
          </w:tcPr>
          <w:p w14:paraId="7440DF3C"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w:t>
            </w:r>
          </w:p>
        </w:tc>
        <w:tc>
          <w:tcPr>
            <w:tcW w:w="3734" w:type="dxa"/>
          </w:tcPr>
          <w:p w14:paraId="77C0F7A1"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4%</w:t>
            </w:r>
          </w:p>
        </w:tc>
      </w:tr>
      <w:tr w:rsidR="00104C0E" w:rsidRPr="007679DA" w14:paraId="5C6535A4"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40BF615C"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Gay Man</w:t>
            </w:r>
          </w:p>
        </w:tc>
        <w:tc>
          <w:tcPr>
            <w:tcW w:w="2685" w:type="dxa"/>
          </w:tcPr>
          <w:p w14:paraId="0906CAE9"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w:t>
            </w:r>
          </w:p>
        </w:tc>
        <w:tc>
          <w:tcPr>
            <w:tcW w:w="3734" w:type="dxa"/>
          </w:tcPr>
          <w:p w14:paraId="64A300DE"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1%</w:t>
            </w:r>
          </w:p>
        </w:tc>
      </w:tr>
      <w:tr w:rsidR="00104C0E" w:rsidRPr="007679DA" w14:paraId="046A72C6"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31C7AB1F"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Gay Woman/Lesbian </w:t>
            </w:r>
          </w:p>
        </w:tc>
        <w:tc>
          <w:tcPr>
            <w:tcW w:w="2685" w:type="dxa"/>
          </w:tcPr>
          <w:p w14:paraId="53FC963B"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w:t>
            </w:r>
          </w:p>
        </w:tc>
        <w:tc>
          <w:tcPr>
            <w:tcW w:w="3734" w:type="dxa"/>
          </w:tcPr>
          <w:p w14:paraId="1C1C4AB3"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2%</w:t>
            </w:r>
          </w:p>
        </w:tc>
      </w:tr>
      <w:tr w:rsidR="00104C0E" w:rsidRPr="007679DA" w14:paraId="7FF2DF91"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02C1BCD2"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Heterosexual </w:t>
            </w:r>
          </w:p>
        </w:tc>
        <w:tc>
          <w:tcPr>
            <w:tcW w:w="2685" w:type="dxa"/>
          </w:tcPr>
          <w:p w14:paraId="5D75822E"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91%</w:t>
            </w:r>
          </w:p>
        </w:tc>
        <w:tc>
          <w:tcPr>
            <w:tcW w:w="3734" w:type="dxa"/>
          </w:tcPr>
          <w:p w14:paraId="000FF9E8"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93%</w:t>
            </w:r>
          </w:p>
        </w:tc>
      </w:tr>
      <w:tr w:rsidR="00104C0E" w:rsidRPr="007679DA" w14:paraId="3031B205"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2377B6EA"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Other </w:t>
            </w:r>
          </w:p>
        </w:tc>
        <w:tc>
          <w:tcPr>
            <w:tcW w:w="2685" w:type="dxa"/>
          </w:tcPr>
          <w:p w14:paraId="42B0EC39"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8.7%</w:t>
            </w:r>
          </w:p>
        </w:tc>
        <w:tc>
          <w:tcPr>
            <w:tcW w:w="3734" w:type="dxa"/>
          </w:tcPr>
          <w:p w14:paraId="18632FE9" w14:textId="77777777" w:rsidR="00104C0E" w:rsidRPr="00CD754E" w:rsidRDefault="00104C0E" w:rsidP="00712989">
            <w:pPr>
              <w:ind w:left="720"/>
              <w:jc w:val="right"/>
              <w:rPr>
                <w:rFonts w:eastAsia="Trebuchet MS" w:cs="Poppins Light"/>
                <w:sz w:val="24"/>
                <w:szCs w:val="24"/>
              </w:rPr>
            </w:pPr>
          </w:p>
        </w:tc>
      </w:tr>
      <w:tr w:rsidR="00104C0E" w:rsidRPr="007679DA" w14:paraId="490A77E7"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9209" w:type="dxa"/>
            <w:gridSpan w:val="3"/>
            <w:shd w:val="clear" w:color="auto" w:fill="F5B1D5" w:themeFill="accent1" w:themeFillTint="66"/>
          </w:tcPr>
          <w:p w14:paraId="7D874261" w14:textId="77777777" w:rsidR="00104C0E" w:rsidRPr="00CD754E" w:rsidRDefault="00104C0E" w:rsidP="00712989">
            <w:pPr>
              <w:ind w:left="720"/>
              <w:jc w:val="right"/>
              <w:rPr>
                <w:rFonts w:eastAsia="Trebuchet MS" w:cs="Poppins Light"/>
                <w:sz w:val="24"/>
                <w:szCs w:val="24"/>
              </w:rPr>
            </w:pPr>
          </w:p>
        </w:tc>
      </w:tr>
      <w:tr w:rsidR="00104C0E" w:rsidRPr="007679DA" w14:paraId="41F6D654"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31A6ABB7"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Under 45</w:t>
            </w:r>
          </w:p>
        </w:tc>
        <w:tc>
          <w:tcPr>
            <w:tcW w:w="2685" w:type="dxa"/>
          </w:tcPr>
          <w:p w14:paraId="62165A4E"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71%</w:t>
            </w:r>
          </w:p>
        </w:tc>
        <w:tc>
          <w:tcPr>
            <w:tcW w:w="3734" w:type="dxa"/>
          </w:tcPr>
          <w:p w14:paraId="0E933F7A"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59%</w:t>
            </w:r>
          </w:p>
        </w:tc>
      </w:tr>
      <w:tr w:rsidR="00104C0E" w:rsidRPr="007679DA" w14:paraId="410536A0"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35893865"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46 to 64</w:t>
            </w:r>
          </w:p>
        </w:tc>
        <w:tc>
          <w:tcPr>
            <w:tcW w:w="2685" w:type="dxa"/>
          </w:tcPr>
          <w:p w14:paraId="6C455966"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16%</w:t>
            </w:r>
          </w:p>
        </w:tc>
        <w:tc>
          <w:tcPr>
            <w:tcW w:w="3734" w:type="dxa"/>
          </w:tcPr>
          <w:p w14:paraId="3B838EAC"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31%</w:t>
            </w:r>
          </w:p>
        </w:tc>
      </w:tr>
      <w:tr w:rsidR="00104C0E" w:rsidRPr="007679DA" w14:paraId="24D47893"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000D5F50"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Over 65</w:t>
            </w:r>
          </w:p>
        </w:tc>
        <w:tc>
          <w:tcPr>
            <w:tcW w:w="2685" w:type="dxa"/>
          </w:tcPr>
          <w:p w14:paraId="1C0E229B"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13%</w:t>
            </w:r>
          </w:p>
        </w:tc>
        <w:tc>
          <w:tcPr>
            <w:tcW w:w="3734" w:type="dxa"/>
          </w:tcPr>
          <w:p w14:paraId="65526408"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10%</w:t>
            </w:r>
          </w:p>
        </w:tc>
      </w:tr>
      <w:tr w:rsidR="00104C0E" w:rsidRPr="007679DA" w14:paraId="70FA0F11"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9209" w:type="dxa"/>
            <w:gridSpan w:val="3"/>
            <w:shd w:val="clear" w:color="auto" w:fill="F5B1D5" w:themeFill="accent1" w:themeFillTint="66"/>
          </w:tcPr>
          <w:p w14:paraId="062267F0" w14:textId="77777777" w:rsidR="00104C0E" w:rsidRPr="00CD754E" w:rsidRDefault="00104C0E" w:rsidP="00712989">
            <w:pPr>
              <w:ind w:left="720"/>
              <w:jc w:val="right"/>
              <w:rPr>
                <w:rFonts w:eastAsia="Trebuchet MS" w:cs="Poppins Light"/>
                <w:sz w:val="24"/>
                <w:szCs w:val="24"/>
              </w:rPr>
            </w:pPr>
          </w:p>
        </w:tc>
      </w:tr>
      <w:tr w:rsidR="00104C0E" w:rsidRPr="007679DA" w14:paraId="0ABA2FCD"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4420F7CF"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White British</w:t>
            </w:r>
          </w:p>
        </w:tc>
        <w:tc>
          <w:tcPr>
            <w:tcW w:w="2685" w:type="dxa"/>
          </w:tcPr>
          <w:p w14:paraId="3FCFAB1F"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78%</w:t>
            </w:r>
          </w:p>
        </w:tc>
        <w:tc>
          <w:tcPr>
            <w:tcW w:w="3734" w:type="dxa"/>
          </w:tcPr>
          <w:p w14:paraId="1CE4A5D2"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84%</w:t>
            </w:r>
          </w:p>
        </w:tc>
      </w:tr>
      <w:tr w:rsidR="00104C0E" w:rsidRPr="007679DA" w14:paraId="31EE5671"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23C87C07"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Ethnic Minority</w:t>
            </w:r>
          </w:p>
        </w:tc>
        <w:tc>
          <w:tcPr>
            <w:tcW w:w="2685" w:type="dxa"/>
          </w:tcPr>
          <w:p w14:paraId="5D4AE6FE"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16%</w:t>
            </w:r>
          </w:p>
        </w:tc>
        <w:tc>
          <w:tcPr>
            <w:tcW w:w="3734" w:type="dxa"/>
          </w:tcPr>
          <w:p w14:paraId="1D8C7EEF"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16%</w:t>
            </w:r>
          </w:p>
        </w:tc>
      </w:tr>
      <w:tr w:rsidR="00104C0E" w:rsidRPr="007679DA" w14:paraId="2FC9BE9F"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9209" w:type="dxa"/>
            <w:gridSpan w:val="3"/>
            <w:shd w:val="clear" w:color="auto" w:fill="F5B1D5" w:themeFill="accent1" w:themeFillTint="66"/>
          </w:tcPr>
          <w:p w14:paraId="1F76E8B2" w14:textId="77777777" w:rsidR="00104C0E" w:rsidRPr="00CD754E" w:rsidRDefault="00104C0E" w:rsidP="00712989">
            <w:pPr>
              <w:ind w:left="720"/>
              <w:jc w:val="right"/>
              <w:rPr>
                <w:rFonts w:eastAsia="Trebuchet MS" w:cs="Poppins Light"/>
                <w:sz w:val="24"/>
                <w:szCs w:val="24"/>
              </w:rPr>
            </w:pPr>
          </w:p>
        </w:tc>
      </w:tr>
      <w:tr w:rsidR="00104C0E" w:rsidRPr="007679DA" w14:paraId="019972CB"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69A297F3"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Transgender Yes</w:t>
            </w:r>
          </w:p>
        </w:tc>
        <w:tc>
          <w:tcPr>
            <w:tcW w:w="2685" w:type="dxa"/>
          </w:tcPr>
          <w:p w14:paraId="1DAC3C57"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w:t>
            </w:r>
          </w:p>
        </w:tc>
        <w:tc>
          <w:tcPr>
            <w:tcW w:w="3734" w:type="dxa"/>
          </w:tcPr>
          <w:p w14:paraId="7393A121"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 xml:space="preserve">                   1.5%</w:t>
            </w:r>
          </w:p>
        </w:tc>
      </w:tr>
      <w:tr w:rsidR="00104C0E" w:rsidRPr="007679DA" w14:paraId="04242AC7"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76D57656"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Transgender No</w:t>
            </w:r>
          </w:p>
        </w:tc>
        <w:tc>
          <w:tcPr>
            <w:tcW w:w="2685" w:type="dxa"/>
          </w:tcPr>
          <w:p w14:paraId="7629C1F8"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w:t>
            </w:r>
          </w:p>
        </w:tc>
        <w:tc>
          <w:tcPr>
            <w:tcW w:w="3734" w:type="dxa"/>
          </w:tcPr>
          <w:p w14:paraId="3B032EB8"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 xml:space="preserve">                   98.5%</w:t>
            </w:r>
          </w:p>
        </w:tc>
      </w:tr>
      <w:tr w:rsidR="00104C0E" w:rsidRPr="007679DA" w14:paraId="1514A779"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9209" w:type="dxa"/>
            <w:gridSpan w:val="3"/>
            <w:shd w:val="clear" w:color="auto" w:fill="F5B1D5" w:themeFill="accent1" w:themeFillTint="66"/>
          </w:tcPr>
          <w:p w14:paraId="7A89D747" w14:textId="77777777" w:rsidR="00104C0E" w:rsidRPr="00CD754E" w:rsidRDefault="00104C0E" w:rsidP="00712989">
            <w:pPr>
              <w:ind w:left="720"/>
              <w:jc w:val="right"/>
              <w:rPr>
                <w:rFonts w:eastAsia="Trebuchet MS" w:cs="Poppins Light"/>
                <w:sz w:val="24"/>
                <w:szCs w:val="24"/>
              </w:rPr>
            </w:pPr>
          </w:p>
        </w:tc>
      </w:tr>
      <w:tr w:rsidR="00104C0E" w:rsidRPr="007679DA" w14:paraId="5880FC4B"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546976FE"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Buddhist </w:t>
            </w:r>
          </w:p>
        </w:tc>
        <w:tc>
          <w:tcPr>
            <w:tcW w:w="2685" w:type="dxa"/>
          </w:tcPr>
          <w:p w14:paraId="6D06C44A"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0.6%</w:t>
            </w:r>
          </w:p>
        </w:tc>
        <w:tc>
          <w:tcPr>
            <w:tcW w:w="3734" w:type="dxa"/>
          </w:tcPr>
          <w:p w14:paraId="37A538CE"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0%</w:t>
            </w:r>
          </w:p>
        </w:tc>
      </w:tr>
      <w:tr w:rsidR="00104C0E" w:rsidRPr="007679DA" w14:paraId="68A3B291"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675BB1B2"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Christian </w:t>
            </w:r>
          </w:p>
        </w:tc>
        <w:tc>
          <w:tcPr>
            <w:tcW w:w="2685" w:type="dxa"/>
          </w:tcPr>
          <w:p w14:paraId="43BCDB72"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46.8%</w:t>
            </w:r>
          </w:p>
        </w:tc>
        <w:tc>
          <w:tcPr>
            <w:tcW w:w="3734" w:type="dxa"/>
          </w:tcPr>
          <w:p w14:paraId="3F3B7FD4"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21% </w:t>
            </w:r>
          </w:p>
        </w:tc>
      </w:tr>
      <w:tr w:rsidR="00104C0E" w:rsidRPr="007679DA" w14:paraId="59BBF029"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6B065A9C"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Hindi</w:t>
            </w:r>
          </w:p>
        </w:tc>
        <w:tc>
          <w:tcPr>
            <w:tcW w:w="2685" w:type="dxa"/>
          </w:tcPr>
          <w:p w14:paraId="6DCF0F20"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0.6%</w:t>
            </w:r>
          </w:p>
        </w:tc>
        <w:tc>
          <w:tcPr>
            <w:tcW w:w="3734" w:type="dxa"/>
          </w:tcPr>
          <w:p w14:paraId="3B843397"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0%</w:t>
            </w:r>
          </w:p>
        </w:tc>
      </w:tr>
      <w:tr w:rsidR="00104C0E" w:rsidRPr="007679DA" w14:paraId="37BB72AD"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19F9399A"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Jewish </w:t>
            </w:r>
          </w:p>
        </w:tc>
        <w:tc>
          <w:tcPr>
            <w:tcW w:w="2685" w:type="dxa"/>
          </w:tcPr>
          <w:p w14:paraId="09238138"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0.2%</w:t>
            </w:r>
          </w:p>
        </w:tc>
        <w:tc>
          <w:tcPr>
            <w:tcW w:w="3734" w:type="dxa"/>
          </w:tcPr>
          <w:p w14:paraId="322104A1"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0%</w:t>
            </w:r>
          </w:p>
        </w:tc>
      </w:tr>
      <w:tr w:rsidR="00104C0E" w:rsidRPr="007679DA" w14:paraId="5EADF8AD"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2D2B16B0"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lastRenderedPageBreak/>
              <w:t>Muslim</w:t>
            </w:r>
          </w:p>
        </w:tc>
        <w:tc>
          <w:tcPr>
            <w:tcW w:w="2685" w:type="dxa"/>
          </w:tcPr>
          <w:p w14:paraId="69122E7C"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5.1%</w:t>
            </w:r>
          </w:p>
        </w:tc>
        <w:tc>
          <w:tcPr>
            <w:tcW w:w="3734" w:type="dxa"/>
          </w:tcPr>
          <w:p w14:paraId="798E2EFF"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6%</w:t>
            </w:r>
          </w:p>
        </w:tc>
      </w:tr>
      <w:tr w:rsidR="00104C0E" w:rsidRPr="007679DA" w14:paraId="2F8E67BB"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5329F16B"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Sikh</w:t>
            </w:r>
          </w:p>
        </w:tc>
        <w:tc>
          <w:tcPr>
            <w:tcW w:w="2685" w:type="dxa"/>
          </w:tcPr>
          <w:p w14:paraId="0B1F7748"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0.5%</w:t>
            </w:r>
          </w:p>
        </w:tc>
        <w:tc>
          <w:tcPr>
            <w:tcW w:w="3734" w:type="dxa"/>
          </w:tcPr>
          <w:p w14:paraId="512FBDBA"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0%</w:t>
            </w:r>
          </w:p>
        </w:tc>
      </w:tr>
      <w:tr w:rsidR="00104C0E" w:rsidRPr="007679DA" w14:paraId="6D66A09E"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052E3EA3"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Any other religion </w:t>
            </w:r>
          </w:p>
        </w:tc>
        <w:tc>
          <w:tcPr>
            <w:tcW w:w="2685" w:type="dxa"/>
          </w:tcPr>
          <w:p w14:paraId="5A25B48D"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0.7%</w:t>
            </w:r>
          </w:p>
        </w:tc>
        <w:tc>
          <w:tcPr>
            <w:tcW w:w="3734" w:type="dxa"/>
          </w:tcPr>
          <w:p w14:paraId="738C6E0B"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0%</w:t>
            </w:r>
          </w:p>
        </w:tc>
      </w:tr>
      <w:tr w:rsidR="00104C0E" w:rsidRPr="007679DA" w14:paraId="1DC3068E" w14:textId="77777777" w:rsidTr="00712989">
        <w:trPr>
          <w:cnfStyle w:val="000000010000" w:firstRow="0" w:lastRow="0" w:firstColumn="0" w:lastColumn="0" w:oddVBand="0" w:evenVBand="0" w:oddHBand="0" w:evenHBand="1" w:firstRowFirstColumn="0" w:firstRowLastColumn="0" w:lastRowFirstColumn="0" w:lastRowLastColumn="0"/>
          <w:trHeight w:val="300"/>
        </w:trPr>
        <w:tc>
          <w:tcPr>
            <w:tcW w:w="2790" w:type="dxa"/>
          </w:tcPr>
          <w:p w14:paraId="152CBAB9"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No Religion </w:t>
            </w:r>
          </w:p>
        </w:tc>
        <w:tc>
          <w:tcPr>
            <w:tcW w:w="2685" w:type="dxa"/>
          </w:tcPr>
          <w:p w14:paraId="7003FF48"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37.4%</w:t>
            </w:r>
          </w:p>
        </w:tc>
        <w:tc>
          <w:tcPr>
            <w:tcW w:w="3734" w:type="dxa"/>
          </w:tcPr>
          <w:p w14:paraId="64655036"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66%</w:t>
            </w:r>
          </w:p>
        </w:tc>
      </w:tr>
      <w:tr w:rsidR="00104C0E" w:rsidRPr="007679DA" w14:paraId="05F7C750" w14:textId="77777777" w:rsidTr="00712989">
        <w:trPr>
          <w:cnfStyle w:val="000000100000" w:firstRow="0" w:lastRow="0" w:firstColumn="0" w:lastColumn="0" w:oddVBand="0" w:evenVBand="0" w:oddHBand="1" w:evenHBand="0" w:firstRowFirstColumn="0" w:firstRowLastColumn="0" w:lastRowFirstColumn="0" w:lastRowLastColumn="0"/>
          <w:trHeight w:val="300"/>
        </w:trPr>
        <w:tc>
          <w:tcPr>
            <w:tcW w:w="2790" w:type="dxa"/>
          </w:tcPr>
          <w:p w14:paraId="5DDF2E61" w14:textId="77777777" w:rsidR="00104C0E" w:rsidRPr="00CD754E" w:rsidRDefault="00104C0E" w:rsidP="00712989">
            <w:pPr>
              <w:pStyle w:val="NoSpacing"/>
              <w:rPr>
                <w:rFonts w:ascii="Poppins Light" w:eastAsia="Trebuchet MS" w:hAnsi="Poppins Light" w:cs="Poppins Light"/>
                <w:sz w:val="24"/>
                <w:szCs w:val="24"/>
              </w:rPr>
            </w:pPr>
            <w:r w:rsidRPr="00CD754E">
              <w:rPr>
                <w:rFonts w:ascii="Poppins Light" w:eastAsia="Trebuchet MS" w:hAnsi="Poppins Light" w:cs="Poppins Light"/>
                <w:sz w:val="24"/>
                <w:szCs w:val="24"/>
              </w:rPr>
              <w:t>Not Stated</w:t>
            </w:r>
          </w:p>
        </w:tc>
        <w:tc>
          <w:tcPr>
            <w:tcW w:w="2685" w:type="dxa"/>
          </w:tcPr>
          <w:p w14:paraId="5603334D" w14:textId="77777777" w:rsidR="00104C0E" w:rsidRPr="00CD754E" w:rsidRDefault="00104C0E" w:rsidP="00712989">
            <w:pPr>
              <w:spacing w:line="259" w:lineRule="auto"/>
              <w:ind w:left="720"/>
              <w:jc w:val="right"/>
              <w:rPr>
                <w:rFonts w:eastAsia="Trebuchet MS" w:cs="Poppins Light"/>
                <w:sz w:val="24"/>
                <w:szCs w:val="24"/>
              </w:rPr>
            </w:pPr>
            <w:r w:rsidRPr="00CD754E">
              <w:rPr>
                <w:rFonts w:eastAsia="Trebuchet MS" w:cs="Poppins Light"/>
                <w:sz w:val="24"/>
                <w:szCs w:val="24"/>
              </w:rPr>
              <w:t>8.1%</w:t>
            </w:r>
          </w:p>
        </w:tc>
        <w:tc>
          <w:tcPr>
            <w:tcW w:w="3734" w:type="dxa"/>
          </w:tcPr>
          <w:p w14:paraId="53D3F8AC" w14:textId="77777777" w:rsidR="00104C0E" w:rsidRPr="00CD754E" w:rsidRDefault="00104C0E" w:rsidP="00712989">
            <w:pPr>
              <w:pStyle w:val="NoSpacing"/>
              <w:ind w:left="720"/>
              <w:jc w:val="right"/>
              <w:rPr>
                <w:rFonts w:ascii="Poppins Light" w:eastAsia="Trebuchet MS" w:hAnsi="Poppins Light" w:cs="Poppins Light"/>
                <w:sz w:val="24"/>
                <w:szCs w:val="24"/>
              </w:rPr>
            </w:pPr>
            <w:r w:rsidRPr="00CD754E">
              <w:rPr>
                <w:rFonts w:ascii="Poppins Light" w:eastAsia="Trebuchet MS" w:hAnsi="Poppins Light" w:cs="Poppins Light"/>
                <w:sz w:val="24"/>
                <w:szCs w:val="24"/>
              </w:rPr>
              <w:t xml:space="preserve">                   7%</w:t>
            </w:r>
          </w:p>
        </w:tc>
      </w:tr>
    </w:tbl>
    <w:p w14:paraId="10324B80" w14:textId="77777777" w:rsidR="00104C0E" w:rsidRDefault="00104C0E" w:rsidP="00104C0E">
      <w:pPr>
        <w:pStyle w:val="HWNormalText"/>
      </w:pPr>
    </w:p>
    <w:p w14:paraId="0DA5FFF6" w14:textId="24D4BBB8" w:rsidR="00104C0E" w:rsidRPr="00CD754E" w:rsidRDefault="00104C0E" w:rsidP="00104C0E">
      <w:pPr>
        <w:pStyle w:val="HWNormalText"/>
        <w:rPr>
          <w:color w:val="002060"/>
        </w:rPr>
      </w:pPr>
      <w:r w:rsidRPr="00CD754E">
        <w:t>Data sets for pathway 3 are unfortunately small (</w:t>
      </w:r>
      <w:hyperlink r:id="rId11">
        <w:r w:rsidRPr="00CD754E">
          <w:rPr>
            <w:rStyle w:val="Hyperlink"/>
            <w:rFonts w:eastAsia="Lato" w:cs="Poppins Light"/>
            <w:szCs w:val="24"/>
          </w:rPr>
          <w:t>https://www.scie.org.uk/care-providers/coronavirus-covid-19/commissioning/hospital-discharge-admissions</w:t>
        </w:r>
      </w:hyperlink>
      <w:r w:rsidRPr="00CD754E">
        <w:rPr>
          <w:rStyle w:val="Hyperlink"/>
          <w:rFonts w:eastAsia="Lato" w:cs="Poppins Light"/>
          <w:szCs w:val="24"/>
          <w:u w:val="none"/>
        </w:rPr>
        <w:t>)</w:t>
      </w:r>
    </w:p>
    <w:p w14:paraId="3459472D" w14:textId="77777777" w:rsidR="00104C0E" w:rsidRPr="00CD754E" w:rsidRDefault="00104C0E" w:rsidP="00104C0E">
      <w:pPr>
        <w:pStyle w:val="HWNormalText"/>
      </w:pPr>
      <w:r w:rsidRPr="00CD754E">
        <w:t>Pathway 0</w:t>
      </w:r>
    </w:p>
    <w:p w14:paraId="600C55C6" w14:textId="77777777" w:rsidR="00104C0E" w:rsidRPr="00CD754E" w:rsidRDefault="00104C0E" w:rsidP="00104C0E">
      <w:pPr>
        <w:pStyle w:val="HWNormalText"/>
      </w:pPr>
      <w:r w:rsidRPr="00CD754E">
        <w:t>50 per cent of people: simple discharge, no input from health/social care.</w:t>
      </w:r>
    </w:p>
    <w:p w14:paraId="54437142" w14:textId="77777777" w:rsidR="00104C0E" w:rsidRPr="00CD754E" w:rsidRDefault="00104C0E" w:rsidP="00104C0E">
      <w:pPr>
        <w:pStyle w:val="HWNormalText"/>
      </w:pPr>
      <w:r w:rsidRPr="00CD754E">
        <w:t>Pathway 1</w:t>
      </w:r>
    </w:p>
    <w:p w14:paraId="3A5CD322" w14:textId="77777777" w:rsidR="00104C0E" w:rsidRPr="00CD754E" w:rsidRDefault="00104C0E" w:rsidP="00104C0E">
      <w:pPr>
        <w:pStyle w:val="HWNormalText"/>
      </w:pPr>
      <w:r w:rsidRPr="00CD754E">
        <w:t>45 per cent of people: support to recover at home; able to return home with support from health and/or social care.</w:t>
      </w:r>
    </w:p>
    <w:p w14:paraId="161C973F" w14:textId="77777777" w:rsidR="00104C0E" w:rsidRPr="00CD754E" w:rsidRDefault="00104C0E" w:rsidP="00104C0E">
      <w:pPr>
        <w:pStyle w:val="HWNormalText"/>
      </w:pPr>
      <w:r w:rsidRPr="00CD754E">
        <w:t>Pathway 2</w:t>
      </w:r>
    </w:p>
    <w:p w14:paraId="61E301D5" w14:textId="77777777" w:rsidR="00104C0E" w:rsidRPr="00CD754E" w:rsidRDefault="00104C0E" w:rsidP="00104C0E">
      <w:pPr>
        <w:pStyle w:val="HWNormalText"/>
      </w:pPr>
      <w:r w:rsidRPr="00CD754E">
        <w:t>4 per cent of people: rehabilitation or short-term care in a bed-based setting.</w:t>
      </w:r>
    </w:p>
    <w:p w14:paraId="5CCA4030" w14:textId="77777777" w:rsidR="00104C0E" w:rsidRPr="00CD754E" w:rsidRDefault="00104C0E" w:rsidP="00104C0E">
      <w:pPr>
        <w:pStyle w:val="HWNormalText"/>
      </w:pPr>
      <w:r w:rsidRPr="00CD754E">
        <w:t>Pathway 3</w:t>
      </w:r>
    </w:p>
    <w:p w14:paraId="560D5C49" w14:textId="77777777" w:rsidR="00104C0E" w:rsidRDefault="00104C0E" w:rsidP="00104C0E">
      <w:pPr>
        <w:pStyle w:val="HWNormalText"/>
      </w:pPr>
      <w:r w:rsidRPr="00CD754E">
        <w:t>1 per cent of people require ongoing 24-hour nursing care, often in a bedded setting; long-term care is likely to be required.</w:t>
      </w:r>
    </w:p>
    <w:p w14:paraId="599A371B" w14:textId="77777777" w:rsidR="00104C0E" w:rsidRPr="009F511A" w:rsidRDefault="00104C0E" w:rsidP="00104C0E">
      <w:pPr>
        <w:pStyle w:val="HWNormalText"/>
        <w:rPr>
          <w:rFonts w:asciiTheme="majorHAnsi" w:hAnsiTheme="majorHAnsi" w:cstheme="majorHAnsi"/>
        </w:rPr>
      </w:pPr>
    </w:p>
    <w:p w14:paraId="0C40F7CE" w14:textId="77777777" w:rsidR="00104C0E" w:rsidRPr="009F511A" w:rsidRDefault="00104C0E" w:rsidP="00104C0E">
      <w:pPr>
        <w:pStyle w:val="HWNormalText"/>
        <w:rPr>
          <w:rFonts w:asciiTheme="majorHAnsi" w:hAnsiTheme="majorHAnsi" w:cstheme="majorHAnsi"/>
          <w:b/>
          <w:bCs/>
        </w:rPr>
      </w:pPr>
      <w:r w:rsidRPr="009F511A">
        <w:rPr>
          <w:rFonts w:asciiTheme="majorHAnsi" w:hAnsiTheme="majorHAnsi" w:cstheme="majorHAnsi"/>
          <w:b/>
          <w:bCs/>
          <w:color w:val="004C6B" w:themeColor="text1"/>
        </w:rPr>
        <w:t>Identified Inequality Breakdown</w:t>
      </w:r>
    </w:p>
    <w:p w14:paraId="336F4A04" w14:textId="77777777" w:rsidR="00104C0E" w:rsidRPr="00CD754E" w:rsidRDefault="00104C0E" w:rsidP="00104C0E">
      <w:pPr>
        <w:pStyle w:val="HWNormalText"/>
      </w:pPr>
      <w:r w:rsidRPr="00CD754E">
        <w:t>To understand and address the impacts of hospital discharge across diverse protected characteristics it is necessary to establish if certain groups are “more likely” to suffer adverse effects and therefore unequal outcomes</w:t>
      </w:r>
      <w:r>
        <w:t>.</w:t>
      </w:r>
    </w:p>
    <w:tbl>
      <w:tblPr>
        <w:tblW w:w="9348" w:type="dxa"/>
        <w:tblLayout w:type="fixed"/>
        <w:tblLook w:val="04A0" w:firstRow="1" w:lastRow="0" w:firstColumn="1" w:lastColumn="0" w:noHBand="0" w:noVBand="1"/>
      </w:tblPr>
      <w:tblGrid>
        <w:gridCol w:w="1352"/>
        <w:gridCol w:w="2094"/>
        <w:gridCol w:w="2210"/>
        <w:gridCol w:w="3692"/>
      </w:tblGrid>
      <w:tr w:rsidR="00104C0E" w:rsidRPr="007679DA" w14:paraId="22F9C830" w14:textId="77777777" w:rsidTr="00712989">
        <w:tc>
          <w:tcPr>
            <w:tcW w:w="1352"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4F774D6D"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 xml:space="preserve"> Number</w:t>
            </w:r>
            <w:r w:rsidRPr="007679DA">
              <w:rPr>
                <w:rFonts w:eastAsia="Trebuchet MS" w:cs="Poppins Light"/>
                <w:color w:val="004C6A"/>
              </w:rPr>
              <w:t> </w:t>
            </w:r>
          </w:p>
        </w:tc>
        <w:tc>
          <w:tcPr>
            <w:tcW w:w="2094"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2EE21D80"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 xml:space="preserve">Protected characteristic or priority group </w:t>
            </w:r>
          </w:p>
        </w:tc>
        <w:tc>
          <w:tcPr>
            <w:tcW w:w="2210"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3392753E" w14:textId="77777777" w:rsidR="00104C0E" w:rsidRPr="007679DA" w:rsidRDefault="00104C0E" w:rsidP="00712989">
            <w:pPr>
              <w:spacing w:line="240" w:lineRule="auto"/>
              <w:rPr>
                <w:rFonts w:eastAsia="Trebuchet MS" w:cs="Poppins Light"/>
                <w:color w:val="004C6A"/>
              </w:rPr>
            </w:pPr>
            <w:r w:rsidRPr="007679DA">
              <w:rPr>
                <w:rFonts w:eastAsia="Trebuchet MS" w:cs="Poppins Light"/>
                <w:b/>
                <w:bCs/>
                <w:color w:val="004C6A"/>
              </w:rPr>
              <w:t xml:space="preserve">Source of information </w:t>
            </w:r>
            <w:r w:rsidRPr="007679DA">
              <w:rPr>
                <w:rFonts w:eastAsia="Trebuchet MS" w:cs="Poppins Light"/>
                <w:color w:val="004C6A"/>
              </w:rPr>
              <w:t> </w:t>
            </w:r>
          </w:p>
        </w:tc>
        <w:tc>
          <w:tcPr>
            <w:tcW w:w="3692"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14A898C7" w14:textId="77777777" w:rsidR="00104C0E" w:rsidRPr="007679DA" w:rsidRDefault="00104C0E" w:rsidP="00712989">
            <w:pPr>
              <w:spacing w:line="240" w:lineRule="auto"/>
              <w:rPr>
                <w:rFonts w:eastAsia="Trebuchet MS" w:cs="Poppins Light"/>
                <w:color w:val="004C6A"/>
              </w:rPr>
            </w:pPr>
            <w:r w:rsidRPr="007679DA">
              <w:rPr>
                <w:rFonts w:eastAsia="Trebuchet MS" w:cs="Poppins Light"/>
                <w:b/>
                <w:bCs/>
                <w:color w:val="004C6A"/>
              </w:rPr>
              <w:t xml:space="preserve">    Information / evidence</w:t>
            </w:r>
          </w:p>
        </w:tc>
      </w:tr>
      <w:tr w:rsidR="00104C0E" w:rsidRPr="007679DA" w14:paraId="765C843F" w14:textId="77777777" w:rsidTr="00712989">
        <w:tc>
          <w:tcPr>
            <w:tcW w:w="1352" w:type="dxa"/>
            <w:tcBorders>
              <w:top w:val="single" w:sz="6" w:space="0" w:color="auto"/>
              <w:left w:val="single" w:sz="6" w:space="0" w:color="auto"/>
              <w:bottom w:val="single" w:sz="6" w:space="0" w:color="auto"/>
              <w:right w:val="single" w:sz="6" w:space="0" w:color="auto"/>
            </w:tcBorders>
          </w:tcPr>
          <w:p w14:paraId="63818E43" w14:textId="77777777" w:rsidR="00104C0E" w:rsidRPr="007679DA" w:rsidRDefault="00104C0E" w:rsidP="00104C0E">
            <w:pPr>
              <w:pStyle w:val="ListParagraph"/>
              <w:numPr>
                <w:ilvl w:val="0"/>
                <w:numId w:val="24"/>
              </w:numPr>
              <w:spacing w:after="160" w:line="240" w:lineRule="auto"/>
              <w:ind w:left="1080" w:firstLine="0"/>
              <w:jc w:val="center"/>
              <w:rPr>
                <w:rFonts w:eastAsiaTheme="minorEastAsia" w:cs="Poppins Light"/>
                <w:color w:val="004C6A"/>
              </w:rPr>
            </w:pPr>
            <w:r w:rsidRPr="007679DA">
              <w:rPr>
                <w:rFonts w:eastAsia="Arial" w:cs="Poppins Light"/>
                <w:color w:val="004C6A"/>
              </w:rPr>
              <w:t> </w:t>
            </w:r>
          </w:p>
        </w:tc>
        <w:tc>
          <w:tcPr>
            <w:tcW w:w="2094" w:type="dxa"/>
            <w:tcBorders>
              <w:top w:val="single" w:sz="6" w:space="0" w:color="auto"/>
              <w:left w:val="single" w:sz="6" w:space="0" w:color="auto"/>
              <w:bottom w:val="single" w:sz="6" w:space="0" w:color="auto"/>
              <w:right w:val="single" w:sz="6" w:space="0" w:color="auto"/>
            </w:tcBorders>
          </w:tcPr>
          <w:p w14:paraId="7C3B7C59"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Age</w:t>
            </w:r>
          </w:p>
        </w:tc>
        <w:tc>
          <w:tcPr>
            <w:tcW w:w="2210" w:type="dxa"/>
            <w:tcBorders>
              <w:top w:val="single" w:sz="6" w:space="0" w:color="auto"/>
              <w:left w:val="single" w:sz="6" w:space="0" w:color="auto"/>
              <w:bottom w:val="single" w:sz="6" w:space="0" w:color="auto"/>
              <w:right w:val="single" w:sz="6" w:space="0" w:color="auto"/>
            </w:tcBorders>
          </w:tcPr>
          <w:p w14:paraId="111E64A3"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Operations Director Hospital Trust Oct ‘21</w:t>
            </w:r>
          </w:p>
        </w:tc>
        <w:tc>
          <w:tcPr>
            <w:tcW w:w="3692" w:type="dxa"/>
            <w:tcBorders>
              <w:top w:val="single" w:sz="6" w:space="0" w:color="auto"/>
              <w:left w:val="single" w:sz="6" w:space="0" w:color="auto"/>
              <w:bottom w:val="single" w:sz="6" w:space="0" w:color="auto"/>
              <w:right w:val="single" w:sz="6" w:space="0" w:color="auto"/>
            </w:tcBorders>
          </w:tcPr>
          <w:p w14:paraId="56076FE5"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Older patients can experience more confusion regarding information and expectations</w:t>
            </w:r>
          </w:p>
        </w:tc>
      </w:tr>
      <w:tr w:rsidR="00104C0E" w:rsidRPr="007679DA" w14:paraId="0B6E83DA" w14:textId="77777777" w:rsidTr="00712989">
        <w:tc>
          <w:tcPr>
            <w:tcW w:w="1352" w:type="dxa"/>
            <w:tcBorders>
              <w:top w:val="single" w:sz="6" w:space="0" w:color="auto"/>
              <w:left w:val="single" w:sz="6" w:space="0" w:color="auto"/>
              <w:bottom w:val="single" w:sz="6" w:space="0" w:color="auto"/>
              <w:right w:val="single" w:sz="6" w:space="0" w:color="auto"/>
            </w:tcBorders>
          </w:tcPr>
          <w:p w14:paraId="564A5FD8" w14:textId="77777777" w:rsidR="00104C0E" w:rsidRPr="007679DA" w:rsidRDefault="00104C0E" w:rsidP="00104C0E">
            <w:pPr>
              <w:pStyle w:val="ListParagraph"/>
              <w:numPr>
                <w:ilvl w:val="0"/>
                <w:numId w:val="23"/>
              </w:numPr>
              <w:spacing w:after="160" w:line="240" w:lineRule="auto"/>
              <w:ind w:left="1080" w:firstLine="0"/>
              <w:jc w:val="center"/>
              <w:rPr>
                <w:rFonts w:eastAsiaTheme="minorEastAsia" w:cs="Poppins Light"/>
                <w:color w:val="004C6A"/>
              </w:rPr>
            </w:pPr>
            <w:r w:rsidRPr="007679DA">
              <w:rPr>
                <w:rFonts w:eastAsia="Arial" w:cs="Poppins Light"/>
                <w:color w:val="004C6A"/>
              </w:rPr>
              <w:t> </w:t>
            </w:r>
          </w:p>
        </w:tc>
        <w:tc>
          <w:tcPr>
            <w:tcW w:w="2094" w:type="dxa"/>
            <w:tcBorders>
              <w:top w:val="single" w:sz="6" w:space="0" w:color="auto"/>
              <w:left w:val="single" w:sz="6" w:space="0" w:color="auto"/>
              <w:bottom w:val="single" w:sz="6" w:space="0" w:color="auto"/>
              <w:right w:val="single" w:sz="6" w:space="0" w:color="auto"/>
            </w:tcBorders>
          </w:tcPr>
          <w:p w14:paraId="7E4BBE27"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Low Income </w:t>
            </w:r>
          </w:p>
        </w:tc>
        <w:tc>
          <w:tcPr>
            <w:tcW w:w="2210" w:type="dxa"/>
            <w:tcBorders>
              <w:top w:val="single" w:sz="6" w:space="0" w:color="auto"/>
              <w:left w:val="single" w:sz="6" w:space="0" w:color="auto"/>
              <w:bottom w:val="single" w:sz="6" w:space="0" w:color="auto"/>
              <w:right w:val="single" w:sz="6" w:space="0" w:color="auto"/>
            </w:tcBorders>
          </w:tcPr>
          <w:p w14:paraId="3ACAD275"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Staff Homecare/ AGE UK doc</w:t>
            </w:r>
          </w:p>
        </w:tc>
        <w:tc>
          <w:tcPr>
            <w:tcW w:w="3692" w:type="dxa"/>
            <w:tcBorders>
              <w:top w:val="single" w:sz="6" w:space="0" w:color="auto"/>
              <w:left w:val="single" w:sz="6" w:space="0" w:color="auto"/>
              <w:bottom w:val="single" w:sz="6" w:space="0" w:color="auto"/>
              <w:right w:val="single" w:sz="6" w:space="0" w:color="auto"/>
            </w:tcBorders>
          </w:tcPr>
          <w:p w14:paraId="11F8A8C0"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Patients can experience anxiety around costs and funding</w:t>
            </w:r>
          </w:p>
        </w:tc>
      </w:tr>
      <w:tr w:rsidR="00104C0E" w:rsidRPr="007679DA" w14:paraId="0EF7556E" w14:textId="77777777" w:rsidTr="00712989">
        <w:tc>
          <w:tcPr>
            <w:tcW w:w="1352" w:type="dxa"/>
            <w:tcBorders>
              <w:top w:val="single" w:sz="6" w:space="0" w:color="auto"/>
              <w:left w:val="single" w:sz="6" w:space="0" w:color="auto"/>
              <w:bottom w:val="single" w:sz="6" w:space="0" w:color="auto"/>
              <w:right w:val="single" w:sz="6" w:space="0" w:color="auto"/>
            </w:tcBorders>
          </w:tcPr>
          <w:p w14:paraId="29C4FB38" w14:textId="77777777" w:rsidR="00104C0E" w:rsidRPr="007679DA" w:rsidRDefault="00104C0E" w:rsidP="00104C0E">
            <w:pPr>
              <w:pStyle w:val="ListParagraph"/>
              <w:numPr>
                <w:ilvl w:val="0"/>
                <w:numId w:val="22"/>
              </w:numPr>
              <w:spacing w:after="160" w:line="240" w:lineRule="auto"/>
              <w:ind w:left="1080" w:firstLine="0"/>
              <w:jc w:val="center"/>
              <w:rPr>
                <w:rFonts w:eastAsiaTheme="minorEastAsia" w:cs="Poppins Light"/>
                <w:color w:val="004C6A"/>
              </w:rPr>
            </w:pPr>
            <w:r w:rsidRPr="007679DA">
              <w:rPr>
                <w:rFonts w:eastAsia="Arial" w:cs="Poppins Light"/>
                <w:color w:val="004C6A"/>
              </w:rPr>
              <w:t> </w:t>
            </w:r>
          </w:p>
        </w:tc>
        <w:tc>
          <w:tcPr>
            <w:tcW w:w="2094" w:type="dxa"/>
            <w:tcBorders>
              <w:top w:val="single" w:sz="6" w:space="0" w:color="auto"/>
              <w:left w:val="single" w:sz="6" w:space="0" w:color="auto"/>
              <w:bottom w:val="single" w:sz="6" w:space="0" w:color="auto"/>
              <w:right w:val="single" w:sz="6" w:space="0" w:color="auto"/>
            </w:tcBorders>
          </w:tcPr>
          <w:p w14:paraId="04E64F97"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Marital Status</w:t>
            </w:r>
          </w:p>
        </w:tc>
        <w:tc>
          <w:tcPr>
            <w:tcW w:w="2210" w:type="dxa"/>
            <w:tcBorders>
              <w:top w:val="single" w:sz="6" w:space="0" w:color="auto"/>
              <w:left w:val="single" w:sz="6" w:space="0" w:color="auto"/>
              <w:bottom w:val="single" w:sz="6" w:space="0" w:color="auto"/>
              <w:right w:val="single" w:sz="6" w:space="0" w:color="auto"/>
            </w:tcBorders>
          </w:tcPr>
          <w:p w14:paraId="128808D5"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Sirona Care &amp; Health</w:t>
            </w:r>
          </w:p>
        </w:tc>
        <w:tc>
          <w:tcPr>
            <w:tcW w:w="3692" w:type="dxa"/>
            <w:tcBorders>
              <w:top w:val="single" w:sz="6" w:space="0" w:color="auto"/>
              <w:left w:val="single" w:sz="6" w:space="0" w:color="auto"/>
              <w:bottom w:val="single" w:sz="6" w:space="0" w:color="auto"/>
              <w:right w:val="single" w:sz="6" w:space="0" w:color="auto"/>
            </w:tcBorders>
          </w:tcPr>
          <w:p w14:paraId="07C796F8"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Those without assistance may be less likely to be offered to return to their own homes </w:t>
            </w:r>
          </w:p>
        </w:tc>
      </w:tr>
      <w:tr w:rsidR="00104C0E" w:rsidRPr="007679DA" w14:paraId="7E1584D6" w14:textId="77777777" w:rsidTr="00712989">
        <w:tc>
          <w:tcPr>
            <w:tcW w:w="1352" w:type="dxa"/>
            <w:tcBorders>
              <w:top w:val="single" w:sz="6" w:space="0" w:color="auto"/>
              <w:left w:val="single" w:sz="6" w:space="0" w:color="auto"/>
              <w:bottom w:val="single" w:sz="6" w:space="0" w:color="auto"/>
              <w:right w:val="single" w:sz="6" w:space="0" w:color="auto"/>
            </w:tcBorders>
          </w:tcPr>
          <w:p w14:paraId="41950C51" w14:textId="77777777" w:rsidR="00104C0E" w:rsidRPr="007679DA" w:rsidRDefault="00104C0E" w:rsidP="00104C0E">
            <w:pPr>
              <w:pStyle w:val="ListParagraph"/>
              <w:numPr>
                <w:ilvl w:val="0"/>
                <w:numId w:val="21"/>
              </w:numPr>
              <w:spacing w:after="160" w:line="240" w:lineRule="auto"/>
              <w:ind w:left="1080" w:firstLine="0"/>
              <w:jc w:val="center"/>
              <w:rPr>
                <w:rFonts w:eastAsiaTheme="minorEastAsia" w:cs="Poppins Light"/>
                <w:color w:val="004C6A"/>
              </w:rPr>
            </w:pPr>
            <w:r w:rsidRPr="007679DA">
              <w:rPr>
                <w:rFonts w:eastAsia="Arial" w:cs="Poppins Light"/>
                <w:color w:val="004C6A"/>
              </w:rPr>
              <w:t> </w:t>
            </w:r>
          </w:p>
        </w:tc>
        <w:tc>
          <w:tcPr>
            <w:tcW w:w="2094" w:type="dxa"/>
            <w:tcBorders>
              <w:top w:val="single" w:sz="6" w:space="0" w:color="auto"/>
              <w:left w:val="single" w:sz="6" w:space="0" w:color="auto"/>
              <w:bottom w:val="single" w:sz="6" w:space="0" w:color="auto"/>
              <w:right w:val="single" w:sz="6" w:space="0" w:color="auto"/>
            </w:tcBorders>
          </w:tcPr>
          <w:p w14:paraId="0E06517A"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Ethnicity &amp; English as a second language</w:t>
            </w:r>
          </w:p>
        </w:tc>
        <w:tc>
          <w:tcPr>
            <w:tcW w:w="2210" w:type="dxa"/>
            <w:tcBorders>
              <w:top w:val="single" w:sz="6" w:space="0" w:color="auto"/>
              <w:left w:val="single" w:sz="6" w:space="0" w:color="auto"/>
              <w:bottom w:val="single" w:sz="6" w:space="0" w:color="auto"/>
              <w:right w:val="single" w:sz="6" w:space="0" w:color="auto"/>
            </w:tcBorders>
          </w:tcPr>
          <w:p w14:paraId="237064D4"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Chinese Community Wellbeing discussion</w:t>
            </w:r>
          </w:p>
        </w:tc>
        <w:tc>
          <w:tcPr>
            <w:tcW w:w="3692" w:type="dxa"/>
            <w:tcBorders>
              <w:top w:val="single" w:sz="6" w:space="0" w:color="auto"/>
              <w:left w:val="single" w:sz="6" w:space="0" w:color="auto"/>
              <w:bottom w:val="single" w:sz="6" w:space="0" w:color="auto"/>
              <w:right w:val="single" w:sz="6" w:space="0" w:color="auto"/>
            </w:tcBorders>
          </w:tcPr>
          <w:p w14:paraId="29D8D2A3"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Prior knowledge suggests that those with English as a second language will be more in danger of information inappropriately provided </w:t>
            </w:r>
          </w:p>
        </w:tc>
      </w:tr>
      <w:tr w:rsidR="00104C0E" w:rsidRPr="007679DA" w14:paraId="7D8D3D6A" w14:textId="77777777" w:rsidTr="00712989">
        <w:tc>
          <w:tcPr>
            <w:tcW w:w="1352" w:type="dxa"/>
            <w:tcBorders>
              <w:top w:val="single" w:sz="6" w:space="0" w:color="auto"/>
              <w:left w:val="single" w:sz="6" w:space="0" w:color="auto"/>
              <w:bottom w:val="single" w:sz="6" w:space="0" w:color="auto"/>
              <w:right w:val="single" w:sz="6" w:space="0" w:color="auto"/>
            </w:tcBorders>
          </w:tcPr>
          <w:p w14:paraId="1A960CD7" w14:textId="77777777" w:rsidR="00104C0E" w:rsidRPr="007679DA" w:rsidRDefault="00104C0E" w:rsidP="00104C0E">
            <w:pPr>
              <w:pStyle w:val="ListParagraph"/>
              <w:numPr>
                <w:ilvl w:val="0"/>
                <w:numId w:val="20"/>
              </w:numPr>
              <w:spacing w:after="160" w:line="240" w:lineRule="auto"/>
              <w:ind w:left="1080" w:firstLine="0"/>
              <w:jc w:val="center"/>
              <w:rPr>
                <w:rFonts w:eastAsiaTheme="minorEastAsia" w:cs="Poppins Light"/>
                <w:color w:val="004C6A"/>
              </w:rPr>
            </w:pPr>
            <w:r w:rsidRPr="007679DA">
              <w:rPr>
                <w:rFonts w:eastAsia="Arial" w:cs="Poppins Light"/>
                <w:color w:val="004C6A"/>
              </w:rPr>
              <w:lastRenderedPageBreak/>
              <w:t> </w:t>
            </w:r>
          </w:p>
        </w:tc>
        <w:tc>
          <w:tcPr>
            <w:tcW w:w="2094" w:type="dxa"/>
            <w:tcBorders>
              <w:top w:val="single" w:sz="6" w:space="0" w:color="auto"/>
              <w:left w:val="single" w:sz="6" w:space="0" w:color="auto"/>
              <w:bottom w:val="single" w:sz="6" w:space="0" w:color="auto"/>
              <w:right w:val="single" w:sz="6" w:space="0" w:color="auto"/>
            </w:tcBorders>
          </w:tcPr>
          <w:p w14:paraId="09775AC4"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Sensory impairment, disability &amp; Learning Difficulties, Dementia </w:t>
            </w:r>
          </w:p>
        </w:tc>
        <w:tc>
          <w:tcPr>
            <w:tcW w:w="2210" w:type="dxa"/>
            <w:tcBorders>
              <w:top w:val="single" w:sz="6" w:space="0" w:color="auto"/>
              <w:left w:val="single" w:sz="6" w:space="0" w:color="auto"/>
              <w:bottom w:val="single" w:sz="6" w:space="0" w:color="auto"/>
              <w:right w:val="single" w:sz="6" w:space="0" w:color="auto"/>
            </w:tcBorders>
          </w:tcPr>
          <w:p w14:paraId="42E1CFB2"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Bristol Carers Voice and Bristol Equality Network </w:t>
            </w:r>
          </w:p>
        </w:tc>
        <w:tc>
          <w:tcPr>
            <w:tcW w:w="3692" w:type="dxa"/>
            <w:tcBorders>
              <w:top w:val="single" w:sz="6" w:space="0" w:color="auto"/>
              <w:left w:val="single" w:sz="6" w:space="0" w:color="auto"/>
              <w:bottom w:val="single" w:sz="6" w:space="0" w:color="auto"/>
              <w:right w:val="single" w:sz="6" w:space="0" w:color="auto"/>
            </w:tcBorders>
          </w:tcPr>
          <w:p w14:paraId="6BE9A5DF"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Prior information suggests some groups may not receive information in an appropriate format, if at all</w:t>
            </w:r>
          </w:p>
        </w:tc>
      </w:tr>
    </w:tbl>
    <w:p w14:paraId="2E7A10CF" w14:textId="77777777" w:rsidR="00104C0E" w:rsidRPr="007679DA" w:rsidRDefault="00104C0E" w:rsidP="00104C0E">
      <w:pPr>
        <w:rPr>
          <w:rFonts w:eastAsia="Lato" w:cs="Poppins Light"/>
          <w:color w:val="002060"/>
        </w:rPr>
      </w:pPr>
    </w:p>
    <w:p w14:paraId="2383EC97" w14:textId="77777777" w:rsidR="00104C0E" w:rsidRDefault="00104C0E" w:rsidP="00104C0E">
      <w:pPr>
        <w:rPr>
          <w:rFonts w:asciiTheme="majorHAnsi" w:eastAsia="Lato" w:hAnsiTheme="majorHAnsi" w:cstheme="majorHAnsi"/>
          <w:b/>
          <w:bCs/>
          <w:color w:val="004C6B" w:themeColor="text1"/>
          <w:sz w:val="24"/>
          <w:szCs w:val="24"/>
        </w:rPr>
      </w:pPr>
    </w:p>
    <w:p w14:paraId="1381C42C" w14:textId="77777777" w:rsidR="00104C0E" w:rsidRDefault="00104C0E" w:rsidP="00104C0E">
      <w:pPr>
        <w:rPr>
          <w:rFonts w:asciiTheme="majorHAnsi" w:eastAsia="Lato" w:hAnsiTheme="majorHAnsi" w:cstheme="majorHAnsi"/>
          <w:b/>
          <w:bCs/>
          <w:color w:val="004C6B" w:themeColor="text1"/>
          <w:sz w:val="24"/>
          <w:szCs w:val="24"/>
        </w:rPr>
      </w:pPr>
    </w:p>
    <w:p w14:paraId="2946DEA0" w14:textId="77777777" w:rsidR="00104C0E" w:rsidRDefault="00104C0E" w:rsidP="00104C0E">
      <w:pPr>
        <w:rPr>
          <w:rFonts w:asciiTheme="majorHAnsi" w:eastAsia="Lato" w:hAnsiTheme="majorHAnsi" w:cstheme="majorHAnsi"/>
          <w:b/>
          <w:bCs/>
          <w:color w:val="004C6B" w:themeColor="text1"/>
          <w:sz w:val="24"/>
          <w:szCs w:val="24"/>
        </w:rPr>
      </w:pPr>
    </w:p>
    <w:p w14:paraId="1BE38E13" w14:textId="165AEC05" w:rsidR="00104C0E" w:rsidRPr="00104C0E" w:rsidRDefault="00104C0E" w:rsidP="00104C0E">
      <w:pPr>
        <w:rPr>
          <w:rFonts w:asciiTheme="majorHAnsi" w:eastAsia="Lato" w:hAnsiTheme="majorHAnsi" w:cstheme="majorHAnsi"/>
          <w:b/>
          <w:bCs/>
          <w:color w:val="004C6B" w:themeColor="text1"/>
          <w:sz w:val="24"/>
          <w:szCs w:val="24"/>
        </w:rPr>
      </w:pPr>
      <w:r w:rsidRPr="00104C0E">
        <w:rPr>
          <w:rFonts w:asciiTheme="majorHAnsi" w:eastAsia="Lato" w:hAnsiTheme="majorHAnsi" w:cstheme="majorHAnsi"/>
          <w:b/>
          <w:bCs/>
          <w:color w:val="004C6B" w:themeColor="text1"/>
          <w:sz w:val="24"/>
          <w:szCs w:val="24"/>
        </w:rPr>
        <w:t>3.</w:t>
      </w:r>
      <w:r>
        <w:rPr>
          <w:rFonts w:asciiTheme="majorHAnsi" w:eastAsia="Lato" w:hAnsiTheme="majorHAnsi" w:cstheme="majorHAnsi"/>
          <w:b/>
          <w:bCs/>
          <w:color w:val="004C6B" w:themeColor="text1"/>
          <w:sz w:val="24"/>
          <w:szCs w:val="24"/>
        </w:rPr>
        <w:t xml:space="preserve"> </w:t>
      </w:r>
      <w:r w:rsidRPr="00104C0E">
        <w:rPr>
          <w:rFonts w:asciiTheme="majorHAnsi" w:eastAsia="Lato" w:hAnsiTheme="majorHAnsi" w:cstheme="majorHAnsi"/>
          <w:b/>
          <w:bCs/>
          <w:color w:val="004C6B" w:themeColor="text1"/>
          <w:sz w:val="24"/>
          <w:szCs w:val="24"/>
        </w:rPr>
        <w:t>Project Equality Methodology Approach</w:t>
      </w:r>
    </w:p>
    <w:p w14:paraId="03CE1D36" w14:textId="77777777" w:rsidR="00104C0E" w:rsidRPr="007679DA" w:rsidRDefault="00104C0E" w:rsidP="00104C0E">
      <w:pPr>
        <w:rPr>
          <w:rFonts w:eastAsia="Lato" w:cs="Poppins Light"/>
          <w:color w:val="002060"/>
          <w:sz w:val="24"/>
          <w:szCs w:val="24"/>
        </w:rPr>
      </w:pPr>
    </w:p>
    <w:p w14:paraId="15435DD6" w14:textId="77777777" w:rsidR="00104C0E" w:rsidRPr="00C77B93" w:rsidRDefault="00104C0E" w:rsidP="00104C0E">
      <w:pPr>
        <w:pStyle w:val="HWBullets"/>
        <w:spacing w:line="300" w:lineRule="exact"/>
      </w:pPr>
      <w:r w:rsidRPr="00C77B93">
        <w:t>Actions to mitigate any negative collection methodology:</w:t>
      </w:r>
    </w:p>
    <w:p w14:paraId="54739D94" w14:textId="77777777" w:rsidR="00104C0E" w:rsidRPr="00C77B93" w:rsidRDefault="00104C0E" w:rsidP="00104C0E">
      <w:pPr>
        <w:pStyle w:val="HWBullets"/>
        <w:spacing w:line="300" w:lineRule="exact"/>
        <w:rPr>
          <w:rFonts w:eastAsiaTheme="minorEastAsia"/>
        </w:rPr>
      </w:pPr>
      <w:r w:rsidRPr="00C77B93">
        <w:t>List of who needs to be consulted including those groups identified as possibly receiving negatively unequal discharge experiences</w:t>
      </w:r>
    </w:p>
    <w:p w14:paraId="72711180" w14:textId="77777777" w:rsidR="00104C0E" w:rsidRPr="00C77B93" w:rsidRDefault="00104C0E" w:rsidP="00104C0E">
      <w:pPr>
        <w:pStyle w:val="HWBullets"/>
        <w:spacing w:line="300" w:lineRule="exact"/>
        <w:rPr>
          <w:rFonts w:eastAsiaTheme="minorEastAsia"/>
        </w:rPr>
      </w:pPr>
      <w:r w:rsidRPr="00C77B93">
        <w:t>Identification of barriers to engagement and project plan to mitigate to include digital exclusion, language diversity, sensory impairment, and cultural determinants</w:t>
      </w:r>
    </w:p>
    <w:p w14:paraId="76B95A6D" w14:textId="77777777" w:rsidR="00104C0E" w:rsidRPr="00C77B93" w:rsidRDefault="00104C0E" w:rsidP="00104C0E">
      <w:pPr>
        <w:pStyle w:val="HWBullets"/>
        <w:spacing w:line="300" w:lineRule="exact"/>
        <w:rPr>
          <w:rFonts w:eastAsiaTheme="minorEastAsia"/>
        </w:rPr>
      </w:pPr>
      <w:r w:rsidRPr="00C77B93">
        <w:t xml:space="preserve">Resource modification to include language, pictorial, verbal surveys, choice of interviewer, full outreach and plans to adapt as per need </w:t>
      </w:r>
    </w:p>
    <w:p w14:paraId="3FCEFC69" w14:textId="77777777" w:rsidR="00104C0E" w:rsidRPr="00C77B93" w:rsidRDefault="00104C0E" w:rsidP="00104C0E">
      <w:pPr>
        <w:pStyle w:val="HWBullets"/>
        <w:spacing w:line="300" w:lineRule="exact"/>
      </w:pPr>
      <w:r w:rsidRPr="00C77B93">
        <w:t>Actions to be taken on an on-going basis.</w:t>
      </w:r>
    </w:p>
    <w:p w14:paraId="02B628E2" w14:textId="77777777" w:rsidR="00104C0E" w:rsidRPr="00C77B93" w:rsidRDefault="00104C0E" w:rsidP="00104C0E">
      <w:pPr>
        <w:pStyle w:val="HWBullets"/>
        <w:spacing w:line="300" w:lineRule="exact"/>
        <w:rPr>
          <w:rFonts w:eastAsiaTheme="minorEastAsia"/>
        </w:rPr>
      </w:pPr>
      <w:r w:rsidRPr="00C77B93">
        <w:t>Review of statistics of characteristic percentages in data collection</w:t>
      </w:r>
    </w:p>
    <w:p w14:paraId="214B0653" w14:textId="77777777" w:rsidR="00104C0E" w:rsidRPr="00C77B93" w:rsidRDefault="00104C0E" w:rsidP="00104C0E">
      <w:pPr>
        <w:pStyle w:val="HWBullets"/>
        <w:spacing w:line="300" w:lineRule="exact"/>
        <w:rPr>
          <w:rFonts w:eastAsiaTheme="minorEastAsia"/>
        </w:rPr>
      </w:pPr>
      <w:r w:rsidRPr="00C77B93">
        <w:t>Interviewee satisfaction questions</w:t>
      </w:r>
    </w:p>
    <w:p w14:paraId="563E55AD" w14:textId="77777777" w:rsidR="00104C0E" w:rsidRPr="00C77B93" w:rsidRDefault="00104C0E" w:rsidP="00104C0E">
      <w:pPr>
        <w:pStyle w:val="HWBullets"/>
        <w:spacing w:line="300" w:lineRule="exact"/>
        <w:rPr>
          <w:rFonts w:eastAsiaTheme="minorEastAsia"/>
        </w:rPr>
      </w:pPr>
      <w:r w:rsidRPr="00C77B93">
        <w:t>Focus on groups experiencing potential inequality as per table below</w:t>
      </w:r>
    </w:p>
    <w:p w14:paraId="3069AF2E" w14:textId="77777777" w:rsidR="00104C0E" w:rsidRPr="007679DA" w:rsidRDefault="00104C0E" w:rsidP="00104C0E">
      <w:pPr>
        <w:rPr>
          <w:rFonts w:eastAsia="Lato" w:cs="Poppins Light"/>
          <w:color w:val="82104C" w:themeColor="accent1" w:themeShade="80"/>
          <w:sz w:val="24"/>
          <w:szCs w:val="24"/>
        </w:rPr>
      </w:pPr>
    </w:p>
    <w:tbl>
      <w:tblPr>
        <w:tblW w:w="9631" w:type="dxa"/>
        <w:tblLayout w:type="fixed"/>
        <w:tblLook w:val="04A0" w:firstRow="1" w:lastRow="0" w:firstColumn="1" w:lastColumn="0" w:noHBand="0" w:noVBand="1"/>
      </w:tblPr>
      <w:tblGrid>
        <w:gridCol w:w="2722"/>
        <w:gridCol w:w="1771"/>
        <w:gridCol w:w="5138"/>
      </w:tblGrid>
      <w:tr w:rsidR="00104C0E" w:rsidRPr="007679DA" w14:paraId="0DE2264A" w14:textId="77777777" w:rsidTr="00712989">
        <w:tc>
          <w:tcPr>
            <w:tcW w:w="2722"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61724FAD"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Identified Group</w:t>
            </w:r>
          </w:p>
        </w:tc>
        <w:tc>
          <w:tcPr>
            <w:tcW w:w="1771"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79678320"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Inequality</w:t>
            </w:r>
          </w:p>
        </w:tc>
        <w:tc>
          <w:tcPr>
            <w:tcW w:w="5138"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131E5651" w14:textId="77777777" w:rsidR="00104C0E" w:rsidRPr="007679DA" w:rsidRDefault="00104C0E" w:rsidP="00712989">
            <w:pPr>
              <w:spacing w:line="240" w:lineRule="auto"/>
              <w:rPr>
                <w:rFonts w:eastAsia="Trebuchet MS" w:cs="Poppins Light"/>
                <w:color w:val="004C6A"/>
              </w:rPr>
            </w:pPr>
            <w:r w:rsidRPr="007679DA">
              <w:rPr>
                <w:rFonts w:eastAsia="Trebuchet MS" w:cs="Poppins Light"/>
                <w:b/>
                <w:bCs/>
                <w:color w:val="004C6A"/>
              </w:rPr>
              <w:t xml:space="preserve">    Focused Methodology </w:t>
            </w:r>
          </w:p>
        </w:tc>
      </w:tr>
      <w:tr w:rsidR="00104C0E" w:rsidRPr="007679DA" w14:paraId="32B3E6A4" w14:textId="77777777" w:rsidTr="00712989">
        <w:tc>
          <w:tcPr>
            <w:tcW w:w="2722" w:type="dxa"/>
            <w:tcBorders>
              <w:top w:val="single" w:sz="6" w:space="0" w:color="auto"/>
              <w:left w:val="single" w:sz="6" w:space="0" w:color="auto"/>
              <w:bottom w:val="single" w:sz="6" w:space="0" w:color="auto"/>
              <w:right w:val="single" w:sz="6" w:space="0" w:color="auto"/>
            </w:tcBorders>
          </w:tcPr>
          <w:p w14:paraId="37E39596" w14:textId="77777777" w:rsidR="00104C0E" w:rsidRPr="007679DA" w:rsidRDefault="00104C0E" w:rsidP="00712989">
            <w:pPr>
              <w:spacing w:line="240" w:lineRule="auto"/>
              <w:ind w:left="1080"/>
              <w:jc w:val="center"/>
              <w:rPr>
                <w:rFonts w:eastAsia="Lato" w:cs="Poppins Light"/>
                <w:color w:val="004C6A"/>
              </w:rPr>
            </w:pPr>
            <w:r w:rsidRPr="007679DA">
              <w:rPr>
                <w:rFonts w:eastAsia="Lato" w:cs="Poppins Light"/>
                <w:color w:val="004C6A"/>
              </w:rPr>
              <w:t>Sensory Impairment</w:t>
            </w:r>
          </w:p>
        </w:tc>
        <w:tc>
          <w:tcPr>
            <w:tcW w:w="1771" w:type="dxa"/>
            <w:tcBorders>
              <w:top w:val="single" w:sz="6" w:space="0" w:color="auto"/>
              <w:left w:val="single" w:sz="6" w:space="0" w:color="auto"/>
              <w:bottom w:val="single" w:sz="6" w:space="0" w:color="auto"/>
              <w:right w:val="single" w:sz="6" w:space="0" w:color="auto"/>
            </w:tcBorders>
          </w:tcPr>
          <w:p w14:paraId="30EE77E1"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Disadvantaged by communication methods</w:t>
            </w:r>
          </w:p>
        </w:tc>
        <w:tc>
          <w:tcPr>
            <w:tcW w:w="5138" w:type="dxa"/>
            <w:tcBorders>
              <w:top w:val="single" w:sz="6" w:space="0" w:color="auto"/>
              <w:left w:val="single" w:sz="6" w:space="0" w:color="auto"/>
              <w:bottom w:val="single" w:sz="6" w:space="0" w:color="auto"/>
              <w:right w:val="single" w:sz="6" w:space="0" w:color="auto"/>
            </w:tcBorders>
          </w:tcPr>
          <w:p w14:paraId="4779CB27"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Ensure surveys are legible to those with visual impairment</w:t>
            </w:r>
          </w:p>
          <w:p w14:paraId="26737DE6"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Ensure large print communication</w:t>
            </w:r>
          </w:p>
          <w:p w14:paraId="37B19528"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Ensure interviews are in appropriate medium</w:t>
            </w:r>
          </w:p>
        </w:tc>
      </w:tr>
      <w:tr w:rsidR="00104C0E" w:rsidRPr="007679DA" w14:paraId="38E5CC02" w14:textId="77777777" w:rsidTr="00712989">
        <w:tc>
          <w:tcPr>
            <w:tcW w:w="2722" w:type="dxa"/>
            <w:tcBorders>
              <w:top w:val="single" w:sz="6" w:space="0" w:color="auto"/>
              <w:left w:val="single" w:sz="6" w:space="0" w:color="auto"/>
              <w:bottom w:val="single" w:sz="6" w:space="0" w:color="auto"/>
              <w:right w:val="single" w:sz="6" w:space="0" w:color="auto"/>
            </w:tcBorders>
          </w:tcPr>
          <w:p w14:paraId="3AA3E384" w14:textId="77777777" w:rsidR="00104C0E" w:rsidRPr="007679DA" w:rsidRDefault="00104C0E" w:rsidP="00712989">
            <w:pPr>
              <w:spacing w:line="240" w:lineRule="auto"/>
              <w:ind w:left="1080"/>
              <w:jc w:val="center"/>
              <w:rPr>
                <w:rFonts w:eastAsia="Lato" w:cs="Poppins Light"/>
                <w:color w:val="004C6A"/>
              </w:rPr>
            </w:pPr>
            <w:r w:rsidRPr="007679DA">
              <w:rPr>
                <w:rFonts w:eastAsia="Lato" w:cs="Poppins Light"/>
                <w:color w:val="004C6A"/>
              </w:rPr>
              <w:t xml:space="preserve">English as second language – minority groups </w:t>
            </w:r>
          </w:p>
        </w:tc>
        <w:tc>
          <w:tcPr>
            <w:tcW w:w="1771" w:type="dxa"/>
            <w:tcBorders>
              <w:top w:val="single" w:sz="6" w:space="0" w:color="auto"/>
              <w:left w:val="single" w:sz="6" w:space="0" w:color="auto"/>
              <w:bottom w:val="single" w:sz="6" w:space="0" w:color="auto"/>
              <w:right w:val="single" w:sz="6" w:space="0" w:color="auto"/>
            </w:tcBorders>
          </w:tcPr>
          <w:p w14:paraId="3C5C12CC"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Disadvantaged by communication methods</w:t>
            </w:r>
          </w:p>
        </w:tc>
        <w:tc>
          <w:tcPr>
            <w:tcW w:w="5138" w:type="dxa"/>
            <w:tcBorders>
              <w:top w:val="single" w:sz="6" w:space="0" w:color="auto"/>
              <w:left w:val="single" w:sz="6" w:space="0" w:color="auto"/>
              <w:bottom w:val="single" w:sz="6" w:space="0" w:color="auto"/>
              <w:right w:val="single" w:sz="6" w:space="0" w:color="auto"/>
            </w:tcBorders>
          </w:tcPr>
          <w:p w14:paraId="3349FFC4"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Survey to be translated and interviews conducted by consultant third party</w:t>
            </w:r>
          </w:p>
        </w:tc>
      </w:tr>
    </w:tbl>
    <w:p w14:paraId="62D03F58" w14:textId="77777777" w:rsidR="00104C0E" w:rsidRPr="007679DA" w:rsidRDefault="00104C0E" w:rsidP="00104C0E">
      <w:pPr>
        <w:rPr>
          <w:rFonts w:eastAsia="Lato" w:cs="Poppins Light"/>
          <w:color w:val="82104C" w:themeColor="accent1" w:themeShade="80"/>
          <w:sz w:val="24"/>
          <w:szCs w:val="24"/>
        </w:rPr>
      </w:pPr>
    </w:p>
    <w:p w14:paraId="6A1AEBE8" w14:textId="77777777" w:rsidR="00104C0E" w:rsidRPr="009F511A" w:rsidRDefault="00104C0E" w:rsidP="00104C0E">
      <w:pPr>
        <w:rPr>
          <w:rFonts w:asciiTheme="majorHAnsi" w:eastAsia="Lato" w:hAnsiTheme="majorHAnsi" w:cstheme="majorHAnsi"/>
          <w:color w:val="004C6B" w:themeColor="text1"/>
          <w:sz w:val="24"/>
          <w:szCs w:val="24"/>
        </w:rPr>
      </w:pPr>
      <w:r w:rsidRPr="009F511A">
        <w:rPr>
          <w:rFonts w:asciiTheme="majorHAnsi" w:eastAsia="Lato" w:hAnsiTheme="majorHAnsi" w:cstheme="majorHAnsi"/>
          <w:b/>
          <w:bCs/>
          <w:color w:val="004C6B" w:themeColor="text1"/>
          <w:sz w:val="24"/>
          <w:szCs w:val="24"/>
        </w:rPr>
        <w:t xml:space="preserve">4. Equality Outcomes Assessment </w:t>
      </w:r>
    </w:p>
    <w:p w14:paraId="25D9146D" w14:textId="77777777" w:rsidR="00104C0E" w:rsidRPr="007679DA" w:rsidRDefault="00104C0E" w:rsidP="00104C0E">
      <w:pPr>
        <w:rPr>
          <w:rFonts w:eastAsia="Lato" w:cs="Poppins Light"/>
          <w:color w:val="002060"/>
          <w:sz w:val="24"/>
          <w:szCs w:val="24"/>
        </w:rPr>
      </w:pPr>
    </w:p>
    <w:tbl>
      <w:tblPr>
        <w:tblW w:w="9631" w:type="dxa"/>
        <w:tblLayout w:type="fixed"/>
        <w:tblLook w:val="04A0" w:firstRow="1" w:lastRow="0" w:firstColumn="1" w:lastColumn="0" w:noHBand="0" w:noVBand="1"/>
      </w:tblPr>
      <w:tblGrid>
        <w:gridCol w:w="2840"/>
        <w:gridCol w:w="1180"/>
        <w:gridCol w:w="1223"/>
        <w:gridCol w:w="4388"/>
      </w:tblGrid>
      <w:tr w:rsidR="00104C0E" w:rsidRPr="007679DA" w14:paraId="1F6E569C" w14:textId="77777777" w:rsidTr="00712989">
        <w:trPr>
          <w:trHeight w:val="1290"/>
        </w:trPr>
        <w:tc>
          <w:tcPr>
            <w:tcW w:w="2840"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13F157B7"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Proposed Outcome/ Recommendation</w:t>
            </w:r>
          </w:p>
        </w:tc>
        <w:tc>
          <w:tcPr>
            <w:tcW w:w="1180"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2CBED136" w14:textId="77777777" w:rsidR="00104C0E" w:rsidRPr="007679DA" w:rsidRDefault="00104C0E" w:rsidP="00712989">
            <w:pPr>
              <w:spacing w:line="240" w:lineRule="auto"/>
              <w:jc w:val="center"/>
              <w:rPr>
                <w:rFonts w:eastAsia="Trebuchet MS" w:cs="Poppins Light"/>
                <w:color w:val="004C6A"/>
              </w:rPr>
            </w:pPr>
            <w:r w:rsidRPr="007679DA">
              <w:rPr>
                <w:rFonts w:eastAsia="Trebuchet MS" w:cs="Poppins Light"/>
                <w:b/>
                <w:bCs/>
                <w:color w:val="004C6A"/>
              </w:rPr>
              <w:t>Positive Outcome</w:t>
            </w:r>
          </w:p>
        </w:tc>
        <w:tc>
          <w:tcPr>
            <w:tcW w:w="1223"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2F6CD444" w14:textId="77777777" w:rsidR="00104C0E" w:rsidRPr="007679DA" w:rsidRDefault="00104C0E" w:rsidP="00712989">
            <w:pPr>
              <w:spacing w:line="240" w:lineRule="auto"/>
              <w:rPr>
                <w:rFonts w:eastAsia="Trebuchet MS" w:cs="Poppins Light"/>
                <w:color w:val="004C6A"/>
              </w:rPr>
            </w:pPr>
            <w:r w:rsidRPr="007679DA">
              <w:rPr>
                <w:rFonts w:eastAsia="Trebuchet MS" w:cs="Poppins Light"/>
                <w:b/>
                <w:bCs/>
                <w:color w:val="004C6A"/>
              </w:rPr>
              <w:t xml:space="preserve">Negative Outcome </w:t>
            </w:r>
            <w:r w:rsidRPr="007679DA">
              <w:rPr>
                <w:rFonts w:eastAsia="Trebuchet MS" w:cs="Poppins Light"/>
                <w:color w:val="004C6A"/>
              </w:rPr>
              <w:t> </w:t>
            </w:r>
          </w:p>
        </w:tc>
        <w:tc>
          <w:tcPr>
            <w:tcW w:w="4388" w:type="dxa"/>
            <w:tcBorders>
              <w:top w:val="single" w:sz="6" w:space="0" w:color="auto"/>
              <w:left w:val="single" w:sz="6" w:space="0" w:color="auto"/>
              <w:bottom w:val="single" w:sz="6" w:space="0" w:color="auto"/>
              <w:right w:val="single" w:sz="6" w:space="0" w:color="auto"/>
            </w:tcBorders>
            <w:shd w:val="clear" w:color="auto" w:fill="CBEAF7" w:themeFill="accent5" w:themeFillTint="66"/>
          </w:tcPr>
          <w:p w14:paraId="7D1811C3" w14:textId="77777777" w:rsidR="00104C0E" w:rsidRPr="007679DA" w:rsidRDefault="00104C0E" w:rsidP="00712989">
            <w:pPr>
              <w:spacing w:line="240" w:lineRule="auto"/>
              <w:rPr>
                <w:rFonts w:eastAsia="Trebuchet MS" w:cs="Poppins Light"/>
                <w:color w:val="004C6A"/>
              </w:rPr>
            </w:pPr>
            <w:r w:rsidRPr="007679DA">
              <w:rPr>
                <w:rFonts w:eastAsia="Trebuchet MS" w:cs="Poppins Light"/>
                <w:b/>
                <w:bCs/>
                <w:color w:val="004C6A"/>
              </w:rPr>
              <w:t xml:space="preserve">    Action To Align Equalities</w:t>
            </w:r>
          </w:p>
        </w:tc>
      </w:tr>
      <w:tr w:rsidR="00104C0E" w:rsidRPr="007679DA" w14:paraId="745181D4" w14:textId="77777777" w:rsidTr="00712989">
        <w:tc>
          <w:tcPr>
            <w:tcW w:w="2840" w:type="dxa"/>
            <w:tcBorders>
              <w:top w:val="single" w:sz="6" w:space="0" w:color="auto"/>
              <w:left w:val="single" w:sz="6" w:space="0" w:color="auto"/>
              <w:bottom w:val="single" w:sz="6" w:space="0" w:color="auto"/>
              <w:right w:val="single" w:sz="6" w:space="0" w:color="auto"/>
            </w:tcBorders>
          </w:tcPr>
          <w:p w14:paraId="66FD6062"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Communication</w:t>
            </w:r>
          </w:p>
        </w:tc>
        <w:tc>
          <w:tcPr>
            <w:tcW w:w="1180" w:type="dxa"/>
            <w:tcBorders>
              <w:top w:val="single" w:sz="6" w:space="0" w:color="auto"/>
              <w:left w:val="single" w:sz="6" w:space="0" w:color="auto"/>
              <w:bottom w:val="single" w:sz="6" w:space="0" w:color="auto"/>
              <w:right w:val="single" w:sz="6" w:space="0" w:color="auto"/>
            </w:tcBorders>
          </w:tcPr>
          <w:p w14:paraId="216774E8"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   Yes</w:t>
            </w:r>
          </w:p>
        </w:tc>
        <w:tc>
          <w:tcPr>
            <w:tcW w:w="1223" w:type="dxa"/>
            <w:tcBorders>
              <w:top w:val="single" w:sz="6" w:space="0" w:color="auto"/>
              <w:left w:val="single" w:sz="6" w:space="0" w:color="auto"/>
              <w:bottom w:val="single" w:sz="6" w:space="0" w:color="auto"/>
              <w:right w:val="single" w:sz="6" w:space="0" w:color="auto"/>
            </w:tcBorders>
          </w:tcPr>
          <w:p w14:paraId="18FCB1F0" w14:textId="77777777" w:rsidR="00104C0E" w:rsidRPr="007679DA" w:rsidRDefault="00104C0E" w:rsidP="00712989">
            <w:pPr>
              <w:spacing w:line="240" w:lineRule="auto"/>
              <w:rPr>
                <w:rFonts w:eastAsia="Arial" w:cs="Poppins Light"/>
                <w:color w:val="004C6A"/>
              </w:rPr>
            </w:pPr>
          </w:p>
        </w:tc>
        <w:tc>
          <w:tcPr>
            <w:tcW w:w="4388" w:type="dxa"/>
            <w:tcBorders>
              <w:top w:val="single" w:sz="6" w:space="0" w:color="auto"/>
              <w:left w:val="single" w:sz="6" w:space="0" w:color="auto"/>
              <w:bottom w:val="single" w:sz="6" w:space="0" w:color="auto"/>
              <w:right w:val="single" w:sz="6" w:space="0" w:color="auto"/>
            </w:tcBorders>
          </w:tcPr>
          <w:p w14:paraId="31430CDF"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Improvements to include language</w:t>
            </w:r>
          </w:p>
        </w:tc>
      </w:tr>
      <w:tr w:rsidR="00104C0E" w:rsidRPr="007679DA" w14:paraId="06202D74" w14:textId="77777777" w:rsidTr="00712989">
        <w:tc>
          <w:tcPr>
            <w:tcW w:w="2840" w:type="dxa"/>
            <w:tcBorders>
              <w:top w:val="single" w:sz="6" w:space="0" w:color="auto"/>
              <w:left w:val="single" w:sz="6" w:space="0" w:color="auto"/>
              <w:bottom w:val="single" w:sz="6" w:space="0" w:color="auto"/>
              <w:right w:val="single" w:sz="6" w:space="0" w:color="auto"/>
            </w:tcBorders>
          </w:tcPr>
          <w:p w14:paraId="75EE9268"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lastRenderedPageBreak/>
              <w:t>Named contact</w:t>
            </w:r>
          </w:p>
        </w:tc>
        <w:tc>
          <w:tcPr>
            <w:tcW w:w="1180" w:type="dxa"/>
            <w:tcBorders>
              <w:top w:val="single" w:sz="6" w:space="0" w:color="auto"/>
              <w:left w:val="single" w:sz="6" w:space="0" w:color="auto"/>
              <w:bottom w:val="single" w:sz="6" w:space="0" w:color="auto"/>
              <w:right w:val="single" w:sz="6" w:space="0" w:color="auto"/>
            </w:tcBorders>
          </w:tcPr>
          <w:p w14:paraId="5C738B4D"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   Yes</w:t>
            </w:r>
          </w:p>
        </w:tc>
        <w:tc>
          <w:tcPr>
            <w:tcW w:w="1223" w:type="dxa"/>
            <w:tcBorders>
              <w:top w:val="single" w:sz="6" w:space="0" w:color="auto"/>
              <w:left w:val="single" w:sz="6" w:space="0" w:color="auto"/>
              <w:bottom w:val="single" w:sz="6" w:space="0" w:color="auto"/>
              <w:right w:val="single" w:sz="6" w:space="0" w:color="auto"/>
            </w:tcBorders>
          </w:tcPr>
          <w:p w14:paraId="57B3FBFD" w14:textId="77777777" w:rsidR="00104C0E" w:rsidRPr="007679DA" w:rsidRDefault="00104C0E" w:rsidP="00712989">
            <w:pPr>
              <w:spacing w:line="240" w:lineRule="auto"/>
              <w:rPr>
                <w:rFonts w:eastAsia="Arial" w:cs="Poppins Light"/>
                <w:color w:val="004C6A"/>
              </w:rPr>
            </w:pPr>
          </w:p>
        </w:tc>
        <w:tc>
          <w:tcPr>
            <w:tcW w:w="4388" w:type="dxa"/>
            <w:tcBorders>
              <w:top w:val="single" w:sz="6" w:space="0" w:color="auto"/>
              <w:left w:val="single" w:sz="6" w:space="0" w:color="auto"/>
              <w:bottom w:val="single" w:sz="6" w:space="0" w:color="auto"/>
              <w:right w:val="single" w:sz="6" w:space="0" w:color="auto"/>
            </w:tcBorders>
          </w:tcPr>
          <w:p w14:paraId="2ED6EBC8"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Appropriate to language</w:t>
            </w:r>
          </w:p>
        </w:tc>
      </w:tr>
      <w:tr w:rsidR="00104C0E" w:rsidRPr="007679DA" w14:paraId="4B42EEA1" w14:textId="77777777" w:rsidTr="00712989">
        <w:tc>
          <w:tcPr>
            <w:tcW w:w="2840" w:type="dxa"/>
            <w:tcBorders>
              <w:top w:val="single" w:sz="6" w:space="0" w:color="auto"/>
              <w:left w:val="single" w:sz="6" w:space="0" w:color="auto"/>
              <w:bottom w:val="single" w:sz="6" w:space="0" w:color="auto"/>
              <w:right w:val="single" w:sz="6" w:space="0" w:color="auto"/>
            </w:tcBorders>
          </w:tcPr>
          <w:p w14:paraId="1B7C6DCB" w14:textId="77777777" w:rsidR="00104C0E" w:rsidRPr="007679DA" w:rsidRDefault="00104C0E" w:rsidP="00712989">
            <w:pPr>
              <w:spacing w:line="240" w:lineRule="auto"/>
              <w:rPr>
                <w:rFonts w:eastAsia="Lato" w:cs="Poppins Light"/>
                <w:color w:val="004C6A"/>
              </w:rPr>
            </w:pPr>
            <w:r w:rsidRPr="007679DA">
              <w:rPr>
                <w:rFonts w:eastAsia="Lato" w:cs="Poppins Light"/>
                <w:color w:val="004C6A"/>
              </w:rPr>
              <w:t>Written plans</w:t>
            </w:r>
          </w:p>
        </w:tc>
        <w:tc>
          <w:tcPr>
            <w:tcW w:w="1180" w:type="dxa"/>
            <w:tcBorders>
              <w:top w:val="single" w:sz="6" w:space="0" w:color="auto"/>
              <w:left w:val="single" w:sz="6" w:space="0" w:color="auto"/>
              <w:bottom w:val="single" w:sz="6" w:space="0" w:color="auto"/>
              <w:right w:val="single" w:sz="6" w:space="0" w:color="auto"/>
            </w:tcBorders>
          </w:tcPr>
          <w:p w14:paraId="0F8CD67F"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Yes</w:t>
            </w:r>
          </w:p>
        </w:tc>
        <w:tc>
          <w:tcPr>
            <w:tcW w:w="1223" w:type="dxa"/>
            <w:tcBorders>
              <w:top w:val="single" w:sz="6" w:space="0" w:color="auto"/>
              <w:left w:val="single" w:sz="6" w:space="0" w:color="auto"/>
              <w:bottom w:val="single" w:sz="6" w:space="0" w:color="auto"/>
              <w:right w:val="single" w:sz="6" w:space="0" w:color="auto"/>
            </w:tcBorders>
          </w:tcPr>
          <w:p w14:paraId="290D8022"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No</w:t>
            </w:r>
          </w:p>
        </w:tc>
        <w:tc>
          <w:tcPr>
            <w:tcW w:w="4388" w:type="dxa"/>
            <w:tcBorders>
              <w:top w:val="single" w:sz="6" w:space="0" w:color="auto"/>
              <w:left w:val="single" w:sz="6" w:space="0" w:color="auto"/>
              <w:bottom w:val="single" w:sz="6" w:space="0" w:color="auto"/>
              <w:right w:val="single" w:sz="6" w:space="0" w:color="auto"/>
            </w:tcBorders>
          </w:tcPr>
          <w:p w14:paraId="05F96276"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xml:space="preserve"> For missed communications but must be an addition not the only </w:t>
            </w:r>
          </w:p>
        </w:tc>
      </w:tr>
      <w:tr w:rsidR="00104C0E" w:rsidRPr="007679DA" w14:paraId="56665E98" w14:textId="77777777" w:rsidTr="00712989">
        <w:tc>
          <w:tcPr>
            <w:tcW w:w="2840" w:type="dxa"/>
            <w:tcBorders>
              <w:top w:val="single" w:sz="6" w:space="0" w:color="auto"/>
              <w:left w:val="single" w:sz="6" w:space="0" w:color="auto"/>
              <w:bottom w:val="single" w:sz="6" w:space="0" w:color="auto"/>
              <w:right w:val="single" w:sz="6" w:space="0" w:color="auto"/>
            </w:tcBorders>
          </w:tcPr>
          <w:p w14:paraId="61C9854E" w14:textId="77777777" w:rsidR="00104C0E" w:rsidRPr="007679DA" w:rsidRDefault="00104C0E" w:rsidP="00712989">
            <w:pPr>
              <w:spacing w:line="240" w:lineRule="auto"/>
              <w:ind w:left="1080"/>
              <w:jc w:val="center"/>
              <w:rPr>
                <w:rFonts w:eastAsia="Arial" w:cs="Poppins Light"/>
                <w:color w:val="004C6A"/>
              </w:rPr>
            </w:pPr>
          </w:p>
        </w:tc>
        <w:tc>
          <w:tcPr>
            <w:tcW w:w="1180" w:type="dxa"/>
            <w:tcBorders>
              <w:top w:val="single" w:sz="6" w:space="0" w:color="auto"/>
              <w:left w:val="single" w:sz="6" w:space="0" w:color="auto"/>
              <w:bottom w:val="single" w:sz="6" w:space="0" w:color="auto"/>
              <w:right w:val="single" w:sz="6" w:space="0" w:color="auto"/>
            </w:tcBorders>
          </w:tcPr>
          <w:p w14:paraId="0B0BF3FB"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c>
          <w:tcPr>
            <w:tcW w:w="1223" w:type="dxa"/>
            <w:tcBorders>
              <w:top w:val="single" w:sz="6" w:space="0" w:color="auto"/>
              <w:left w:val="single" w:sz="6" w:space="0" w:color="auto"/>
              <w:bottom w:val="single" w:sz="6" w:space="0" w:color="auto"/>
              <w:right w:val="single" w:sz="6" w:space="0" w:color="auto"/>
            </w:tcBorders>
          </w:tcPr>
          <w:p w14:paraId="649B9436"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c>
          <w:tcPr>
            <w:tcW w:w="4388" w:type="dxa"/>
            <w:tcBorders>
              <w:top w:val="single" w:sz="6" w:space="0" w:color="auto"/>
              <w:left w:val="single" w:sz="6" w:space="0" w:color="auto"/>
              <w:bottom w:val="single" w:sz="6" w:space="0" w:color="auto"/>
              <w:right w:val="single" w:sz="6" w:space="0" w:color="auto"/>
            </w:tcBorders>
          </w:tcPr>
          <w:p w14:paraId="3F91C604"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r>
      <w:tr w:rsidR="00104C0E" w:rsidRPr="007679DA" w14:paraId="072FB2CF" w14:textId="77777777" w:rsidTr="00712989">
        <w:tc>
          <w:tcPr>
            <w:tcW w:w="2840" w:type="dxa"/>
            <w:tcBorders>
              <w:top w:val="single" w:sz="6" w:space="0" w:color="auto"/>
              <w:left w:val="single" w:sz="6" w:space="0" w:color="auto"/>
              <w:bottom w:val="single" w:sz="6" w:space="0" w:color="auto"/>
              <w:right w:val="single" w:sz="6" w:space="0" w:color="auto"/>
            </w:tcBorders>
          </w:tcPr>
          <w:p w14:paraId="3047D093" w14:textId="77777777" w:rsidR="00104C0E" w:rsidRPr="007679DA" w:rsidRDefault="00104C0E" w:rsidP="00712989">
            <w:pPr>
              <w:spacing w:line="240" w:lineRule="auto"/>
              <w:ind w:left="1080"/>
              <w:jc w:val="center"/>
              <w:rPr>
                <w:rFonts w:eastAsia="Arial" w:cs="Poppins Light"/>
                <w:color w:val="004C6A"/>
              </w:rPr>
            </w:pPr>
          </w:p>
        </w:tc>
        <w:tc>
          <w:tcPr>
            <w:tcW w:w="1180" w:type="dxa"/>
            <w:tcBorders>
              <w:top w:val="single" w:sz="6" w:space="0" w:color="auto"/>
              <w:left w:val="single" w:sz="6" w:space="0" w:color="auto"/>
              <w:bottom w:val="single" w:sz="6" w:space="0" w:color="auto"/>
              <w:right w:val="single" w:sz="6" w:space="0" w:color="auto"/>
            </w:tcBorders>
          </w:tcPr>
          <w:p w14:paraId="4E196BB2"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c>
          <w:tcPr>
            <w:tcW w:w="1223" w:type="dxa"/>
            <w:tcBorders>
              <w:top w:val="single" w:sz="6" w:space="0" w:color="auto"/>
              <w:left w:val="single" w:sz="6" w:space="0" w:color="auto"/>
              <w:bottom w:val="single" w:sz="6" w:space="0" w:color="auto"/>
              <w:right w:val="single" w:sz="6" w:space="0" w:color="auto"/>
            </w:tcBorders>
          </w:tcPr>
          <w:p w14:paraId="404572C4"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c>
          <w:tcPr>
            <w:tcW w:w="4388" w:type="dxa"/>
            <w:tcBorders>
              <w:top w:val="single" w:sz="6" w:space="0" w:color="auto"/>
              <w:left w:val="single" w:sz="6" w:space="0" w:color="auto"/>
              <w:bottom w:val="single" w:sz="6" w:space="0" w:color="auto"/>
              <w:right w:val="single" w:sz="6" w:space="0" w:color="auto"/>
            </w:tcBorders>
          </w:tcPr>
          <w:p w14:paraId="4350A0A5" w14:textId="77777777" w:rsidR="00104C0E" w:rsidRPr="007679DA" w:rsidRDefault="00104C0E" w:rsidP="00712989">
            <w:pPr>
              <w:spacing w:line="240" w:lineRule="auto"/>
              <w:rPr>
                <w:rFonts w:eastAsia="Arial" w:cs="Poppins Light"/>
                <w:color w:val="004C6A"/>
              </w:rPr>
            </w:pPr>
            <w:r w:rsidRPr="007679DA">
              <w:rPr>
                <w:rFonts w:eastAsia="Arial" w:cs="Poppins Light"/>
                <w:color w:val="004C6A"/>
              </w:rPr>
              <w:t> </w:t>
            </w:r>
          </w:p>
        </w:tc>
      </w:tr>
    </w:tbl>
    <w:p w14:paraId="4BEB7302" w14:textId="77777777" w:rsidR="00104C0E" w:rsidRDefault="00104C0E" w:rsidP="00104C0E">
      <w:pPr>
        <w:rPr>
          <w:rFonts w:eastAsia="Lato" w:cs="Poppins Light"/>
          <w:color w:val="002060"/>
          <w:sz w:val="24"/>
          <w:szCs w:val="24"/>
        </w:rPr>
      </w:pPr>
    </w:p>
    <w:p w14:paraId="22A7FC54" w14:textId="77777777" w:rsidR="00104C0E" w:rsidRPr="007679DA" w:rsidRDefault="00104C0E" w:rsidP="00104C0E">
      <w:pPr>
        <w:rPr>
          <w:rFonts w:eastAsia="Lato" w:cs="Poppins Light"/>
          <w:color w:val="002060"/>
          <w:sz w:val="24"/>
          <w:szCs w:val="24"/>
        </w:rPr>
      </w:pPr>
    </w:p>
    <w:p w14:paraId="58D15D2A" w14:textId="77777777" w:rsidR="00104C0E" w:rsidRDefault="00104C0E" w:rsidP="00104C0E">
      <w:pPr>
        <w:rPr>
          <w:rFonts w:asciiTheme="majorHAnsi" w:eastAsia="Lato" w:hAnsiTheme="majorHAnsi" w:cstheme="majorHAnsi"/>
          <w:b/>
          <w:bCs/>
          <w:color w:val="004C6B" w:themeColor="text1"/>
          <w:sz w:val="24"/>
          <w:szCs w:val="24"/>
        </w:rPr>
      </w:pPr>
    </w:p>
    <w:p w14:paraId="7C9BE393" w14:textId="77777777" w:rsidR="00104C0E" w:rsidRDefault="00104C0E" w:rsidP="00104C0E">
      <w:pPr>
        <w:rPr>
          <w:rFonts w:asciiTheme="majorHAnsi" w:eastAsia="Lato" w:hAnsiTheme="majorHAnsi" w:cstheme="majorHAnsi"/>
          <w:b/>
          <w:bCs/>
          <w:color w:val="004C6B" w:themeColor="text1"/>
          <w:sz w:val="24"/>
          <w:szCs w:val="24"/>
        </w:rPr>
      </w:pPr>
    </w:p>
    <w:p w14:paraId="2187EBDF" w14:textId="72F00279" w:rsidR="00104C0E" w:rsidRPr="00104C0E" w:rsidRDefault="00104C0E" w:rsidP="00104C0E">
      <w:pPr>
        <w:rPr>
          <w:rFonts w:asciiTheme="majorHAnsi" w:eastAsia="Lato" w:hAnsiTheme="majorHAnsi" w:cstheme="majorHAnsi"/>
          <w:b/>
          <w:bCs/>
          <w:color w:val="004C6B" w:themeColor="text1"/>
          <w:sz w:val="24"/>
          <w:szCs w:val="24"/>
        </w:rPr>
      </w:pPr>
      <w:r>
        <w:rPr>
          <w:rFonts w:asciiTheme="majorHAnsi" w:eastAsia="Lato" w:hAnsiTheme="majorHAnsi" w:cstheme="majorHAnsi"/>
          <w:b/>
          <w:bCs/>
          <w:color w:val="004C6B" w:themeColor="text1"/>
          <w:sz w:val="24"/>
          <w:szCs w:val="24"/>
        </w:rPr>
        <w:t xml:space="preserve">5. </w:t>
      </w:r>
      <w:r w:rsidRPr="00104C0E">
        <w:rPr>
          <w:rFonts w:asciiTheme="majorHAnsi" w:eastAsia="Lato" w:hAnsiTheme="majorHAnsi" w:cstheme="majorHAnsi"/>
          <w:b/>
          <w:bCs/>
          <w:color w:val="004C6B" w:themeColor="text1"/>
          <w:sz w:val="24"/>
          <w:szCs w:val="24"/>
        </w:rPr>
        <w:t>Inequalities Principles/Data Profiles</w:t>
      </w:r>
    </w:p>
    <w:p w14:paraId="76709D2E" w14:textId="77777777" w:rsidR="00104C0E" w:rsidRPr="009F511A" w:rsidRDefault="00104C0E" w:rsidP="00104C0E">
      <w:pPr>
        <w:rPr>
          <w:rFonts w:eastAsia="Lato" w:cs="Poppins Light"/>
          <w:color w:val="004C6B" w:themeColor="text1"/>
          <w:sz w:val="24"/>
          <w:szCs w:val="24"/>
        </w:rPr>
      </w:pPr>
    </w:p>
    <w:p w14:paraId="594ADF60" w14:textId="77777777" w:rsidR="00104C0E" w:rsidRPr="007679DA" w:rsidRDefault="00104C0E" w:rsidP="00104C0E">
      <w:pPr>
        <w:pStyle w:val="HWBullets"/>
        <w:spacing w:line="300" w:lineRule="exact"/>
        <w:rPr>
          <w:rFonts w:eastAsiaTheme="minorEastAsia"/>
          <w:color w:val="82104C" w:themeColor="accent1" w:themeShade="80"/>
          <w:szCs w:val="24"/>
        </w:rPr>
      </w:pPr>
      <w:r w:rsidRPr="00C77B93">
        <w:rPr>
          <w:rFonts w:eastAsia="Lato"/>
          <w:szCs w:val="24"/>
        </w:rPr>
        <w:t>Equality and Human Rights Commission</w:t>
      </w:r>
      <w:r w:rsidRPr="00C77B93">
        <w:rPr>
          <w:rFonts w:eastAsia="Trebuchet MS"/>
          <w:szCs w:val="24"/>
        </w:rPr>
        <w:t xml:space="preserve"> – </w:t>
      </w:r>
      <w:r w:rsidRPr="007679DA">
        <w:rPr>
          <w:rFonts w:eastAsia="Trebuchet MS"/>
          <w:color w:val="82104C" w:themeColor="accent1" w:themeShade="80"/>
          <w:szCs w:val="24"/>
        </w:rPr>
        <w:t>‘</w:t>
      </w:r>
      <w:hyperlink r:id="rId12">
        <w:r w:rsidRPr="007679DA">
          <w:rPr>
            <w:rStyle w:val="Hyperlink"/>
            <w:rFonts w:eastAsia="Trebuchet MS" w:cs="Poppins Light"/>
            <w:szCs w:val="24"/>
          </w:rPr>
          <w:t>Is Britain Fairer? (2018)</w:t>
        </w:r>
      </w:hyperlink>
      <w:r w:rsidRPr="007679DA">
        <w:rPr>
          <w:rFonts w:eastAsia="Trebuchet MS"/>
          <w:color w:val="82104C" w:themeColor="accent1" w:themeShade="80"/>
          <w:szCs w:val="24"/>
        </w:rPr>
        <w:t>’</w:t>
      </w:r>
    </w:p>
    <w:p w14:paraId="286854D8" w14:textId="77777777" w:rsidR="00104C0E" w:rsidRPr="007679DA" w:rsidRDefault="00104C0E" w:rsidP="00104C0E">
      <w:pPr>
        <w:pStyle w:val="HWBullets"/>
        <w:spacing w:line="300" w:lineRule="exact"/>
        <w:rPr>
          <w:rFonts w:eastAsiaTheme="minorEastAsia"/>
          <w:color w:val="82104C" w:themeColor="accent1" w:themeShade="80"/>
          <w:szCs w:val="24"/>
        </w:rPr>
      </w:pPr>
      <w:r w:rsidRPr="00C77B93">
        <w:rPr>
          <w:rFonts w:eastAsia="Trebuchet MS"/>
          <w:szCs w:val="24"/>
        </w:rPr>
        <w:t>T</w:t>
      </w:r>
      <w:r w:rsidRPr="00C77B93">
        <w:rPr>
          <w:rFonts w:eastAsia="Lato"/>
          <w:szCs w:val="24"/>
        </w:rPr>
        <w:t>he promotion of social inclusion</w:t>
      </w:r>
      <w:r w:rsidRPr="00C77B93">
        <w:rPr>
          <w:rFonts w:eastAsia="Trebuchet MS"/>
          <w:szCs w:val="24"/>
        </w:rPr>
        <w:t xml:space="preserve"> - </w:t>
      </w:r>
      <w:hyperlink r:id="rId13">
        <w:r w:rsidRPr="007679DA">
          <w:rPr>
            <w:rStyle w:val="Hyperlink"/>
            <w:rFonts w:eastAsia="Trebuchet MS" w:cs="Poppins Light"/>
            <w:szCs w:val="24"/>
          </w:rPr>
          <w:t>https://www.gov.uk/government/publications/the-promotion-of-social-inclusion</w:t>
        </w:r>
      </w:hyperlink>
    </w:p>
    <w:p w14:paraId="458BBCAF" w14:textId="77777777" w:rsidR="00104C0E" w:rsidRPr="007679DA" w:rsidRDefault="00104C0E" w:rsidP="00104C0E">
      <w:pPr>
        <w:pStyle w:val="HWBullets"/>
        <w:spacing w:line="300" w:lineRule="exact"/>
        <w:rPr>
          <w:rFonts w:eastAsiaTheme="minorEastAsia"/>
          <w:color w:val="82104C" w:themeColor="accent1" w:themeShade="80"/>
          <w:szCs w:val="24"/>
        </w:rPr>
      </w:pPr>
      <w:r w:rsidRPr="00C77B93">
        <w:rPr>
          <w:rFonts w:eastAsia="Lato"/>
          <w:szCs w:val="24"/>
        </w:rPr>
        <w:t>Marmot review post</w:t>
      </w:r>
      <w:r>
        <w:rPr>
          <w:rFonts w:eastAsia="Lato"/>
          <w:szCs w:val="24"/>
        </w:rPr>
        <w:t>-</w:t>
      </w:r>
      <w:r w:rsidRPr="00C77B93">
        <w:rPr>
          <w:rFonts w:eastAsia="Lato"/>
          <w:szCs w:val="24"/>
        </w:rPr>
        <w:t xml:space="preserve">2010 </w:t>
      </w:r>
      <w:r w:rsidRPr="00C77B93">
        <w:rPr>
          <w:rFonts w:eastAsia="Trebuchet MS"/>
          <w:szCs w:val="24"/>
        </w:rPr>
        <w:t>-</w:t>
      </w:r>
      <w:r w:rsidRPr="007679DA">
        <w:rPr>
          <w:rFonts w:eastAsia="Trebuchet MS"/>
          <w:color w:val="82104C" w:themeColor="accent1" w:themeShade="80"/>
          <w:szCs w:val="24"/>
        </w:rPr>
        <w:t xml:space="preserve"> </w:t>
      </w:r>
      <w:hyperlink r:id="rId14">
        <w:r w:rsidRPr="007679DA">
          <w:rPr>
            <w:rStyle w:val="Hyperlink"/>
            <w:rFonts w:eastAsia="Trebuchet MS" w:cs="Poppins Light"/>
            <w:szCs w:val="24"/>
          </w:rPr>
          <w:t>https://www.gov.uk/research-for-development-outputs/fair-society-healthy-lives-the-marmot-review-strategic-review-of-health-inequalities-in-england-post-2010</w:t>
        </w:r>
      </w:hyperlink>
    </w:p>
    <w:p w14:paraId="1CD253BA" w14:textId="77777777" w:rsidR="00104C0E" w:rsidRPr="007679DA" w:rsidRDefault="00104C0E" w:rsidP="00104C0E">
      <w:pPr>
        <w:pStyle w:val="HWBullets"/>
        <w:spacing w:line="300" w:lineRule="exact"/>
        <w:rPr>
          <w:rFonts w:eastAsiaTheme="minorEastAsia"/>
          <w:color w:val="82104C" w:themeColor="accent1" w:themeShade="80"/>
          <w:szCs w:val="24"/>
        </w:rPr>
      </w:pPr>
      <w:r w:rsidRPr="00C77B93">
        <w:rPr>
          <w:rFonts w:eastAsia="Lato"/>
          <w:szCs w:val="24"/>
        </w:rPr>
        <w:t>JSNA data profiles</w:t>
      </w:r>
      <w:r>
        <w:rPr>
          <w:rFonts w:eastAsia="Lato"/>
          <w:szCs w:val="24"/>
        </w:rPr>
        <w:t xml:space="preserve"> –</w:t>
      </w:r>
      <w:r w:rsidRPr="00C77B93">
        <w:rPr>
          <w:rFonts w:eastAsia="Trebuchet MS"/>
          <w:szCs w:val="24"/>
        </w:rPr>
        <w:t xml:space="preserve"> </w:t>
      </w:r>
      <w:hyperlink r:id="rId15">
        <w:r w:rsidRPr="007679DA">
          <w:rPr>
            <w:rStyle w:val="Hyperlink"/>
            <w:rFonts w:eastAsia="Trebuchet MS" w:cs="Poppins Light"/>
            <w:szCs w:val="24"/>
          </w:rPr>
          <w:t>https://www.bristol.gov.uk/policies-plans-strategies/jsna-data-profile</w:t>
        </w:r>
      </w:hyperlink>
    </w:p>
    <w:p w14:paraId="4BE2CB5B" w14:textId="77777777" w:rsidR="00104C0E" w:rsidRPr="007679DA" w:rsidRDefault="00104C0E" w:rsidP="00104C0E">
      <w:pPr>
        <w:pStyle w:val="HWBullets"/>
        <w:spacing w:line="300" w:lineRule="exact"/>
        <w:rPr>
          <w:rFonts w:eastAsiaTheme="minorEastAsia"/>
          <w:color w:val="82104C" w:themeColor="accent1" w:themeShade="80"/>
          <w:szCs w:val="24"/>
        </w:rPr>
      </w:pPr>
      <w:r w:rsidRPr="00C77B93">
        <w:rPr>
          <w:rFonts w:eastAsia="Lato"/>
          <w:szCs w:val="24"/>
        </w:rPr>
        <w:t>Ward Profiles BCC censu</w:t>
      </w:r>
      <w:r w:rsidRPr="00C77B93">
        <w:rPr>
          <w:rFonts w:eastAsia="Trebuchet MS"/>
          <w:szCs w:val="24"/>
        </w:rPr>
        <w:t>s</w:t>
      </w:r>
      <w:r>
        <w:rPr>
          <w:rFonts w:eastAsia="Trebuchet MS"/>
          <w:szCs w:val="24"/>
        </w:rPr>
        <w:t xml:space="preserve"> –</w:t>
      </w:r>
      <w:r w:rsidRPr="00C77B93">
        <w:rPr>
          <w:rFonts w:eastAsia="Trebuchet MS"/>
          <w:szCs w:val="24"/>
        </w:rPr>
        <w:t xml:space="preserve"> </w:t>
      </w:r>
      <w:hyperlink r:id="rId16">
        <w:r w:rsidRPr="007679DA">
          <w:rPr>
            <w:rStyle w:val="Hyperlink"/>
            <w:rFonts w:eastAsia="Trebuchet MS" w:cs="Poppins Light"/>
            <w:szCs w:val="24"/>
          </w:rPr>
          <w:t>https://www.bristol.gov.uk/statistics-census-information/new-wards-data-profiles</w:t>
        </w:r>
      </w:hyperlink>
      <w:r w:rsidRPr="007679DA">
        <w:rPr>
          <w:rFonts w:eastAsia="Trebuchet MS"/>
          <w:color w:val="82104C" w:themeColor="accent1" w:themeShade="80"/>
          <w:szCs w:val="24"/>
        </w:rPr>
        <w:t xml:space="preserve"> </w:t>
      </w:r>
    </w:p>
    <w:p w14:paraId="56A03228" w14:textId="77777777" w:rsidR="00104C0E" w:rsidRPr="007679DA" w:rsidRDefault="00104C0E" w:rsidP="00104C0E">
      <w:pPr>
        <w:pStyle w:val="HWBullets"/>
        <w:spacing w:line="300" w:lineRule="exact"/>
        <w:rPr>
          <w:rStyle w:val="eop"/>
          <w:rFonts w:eastAsiaTheme="minorEastAsia" w:cs="Poppins Light"/>
          <w:color w:val="82104C" w:themeColor="accent1" w:themeShade="80"/>
          <w:szCs w:val="24"/>
        </w:rPr>
      </w:pPr>
      <w:r w:rsidRPr="00C77B93">
        <w:rPr>
          <w:rFonts w:eastAsia="Lato"/>
          <w:szCs w:val="24"/>
        </w:rPr>
        <w:t xml:space="preserve">State of Bristol </w:t>
      </w:r>
      <w:r>
        <w:rPr>
          <w:rFonts w:eastAsia="Lato"/>
          <w:szCs w:val="24"/>
        </w:rPr>
        <w:t>k</w:t>
      </w:r>
      <w:r w:rsidRPr="00C77B93">
        <w:rPr>
          <w:rFonts w:eastAsia="Lato"/>
          <w:szCs w:val="24"/>
        </w:rPr>
        <w:t>ey facts</w:t>
      </w:r>
      <w:r>
        <w:rPr>
          <w:rFonts w:eastAsia="Trebuchet MS"/>
          <w:szCs w:val="24"/>
        </w:rPr>
        <w:t xml:space="preserve"> – </w:t>
      </w:r>
      <w:hyperlink r:id="rId17" w:history="1">
        <w:r w:rsidRPr="00C263D2">
          <w:rPr>
            <w:rStyle w:val="Hyperlink"/>
            <w:rFonts w:eastAsia="Trebuchet MS" w:cs="Poppins Light"/>
            <w:szCs w:val="24"/>
          </w:rPr>
          <w:t>https://www.bristol.gov.uk/documents/20182/32947/Bristol+Key+Facts+2021</w:t>
        </w:r>
      </w:hyperlink>
    </w:p>
    <w:p w14:paraId="33B2EDDB" w14:textId="725BA6E0" w:rsidR="00104C0E" w:rsidRDefault="00104C0E" w:rsidP="00104C0E"/>
    <w:p w14:paraId="411DC1AE" w14:textId="2D9C160A" w:rsidR="00104C0E" w:rsidRDefault="00104C0E" w:rsidP="00104C0E"/>
    <w:p w14:paraId="580651B4" w14:textId="05793897" w:rsidR="00104C0E" w:rsidRDefault="00104C0E" w:rsidP="00104C0E"/>
    <w:p w14:paraId="167CB64D" w14:textId="496A595A" w:rsidR="00104C0E" w:rsidRDefault="00104C0E" w:rsidP="00104C0E"/>
    <w:p w14:paraId="0FF2A013" w14:textId="69F3AC3A" w:rsidR="00104C0E" w:rsidRDefault="00104C0E" w:rsidP="00104C0E"/>
    <w:p w14:paraId="4423172B" w14:textId="113CAE41" w:rsidR="00104C0E" w:rsidRDefault="00104C0E" w:rsidP="00104C0E"/>
    <w:p w14:paraId="5FF5C116" w14:textId="71FD6226" w:rsidR="00104C0E" w:rsidRDefault="00104C0E" w:rsidP="00104C0E"/>
    <w:p w14:paraId="20AB40FF" w14:textId="64E92D68" w:rsidR="00104C0E" w:rsidRDefault="00104C0E" w:rsidP="00104C0E"/>
    <w:p w14:paraId="607FE684" w14:textId="25BB39D6" w:rsidR="00104C0E" w:rsidRDefault="00104C0E" w:rsidP="00104C0E"/>
    <w:p w14:paraId="1AA67F17" w14:textId="00665F9D" w:rsidR="00104C0E" w:rsidRDefault="00104C0E" w:rsidP="00104C0E"/>
    <w:p w14:paraId="726EBDBC" w14:textId="1D71BBE1" w:rsidR="00104C0E" w:rsidRDefault="00104C0E" w:rsidP="00104C0E"/>
    <w:p w14:paraId="2F415BDD" w14:textId="796DFECE" w:rsidR="00104C0E" w:rsidRDefault="00104C0E" w:rsidP="00104C0E"/>
    <w:p w14:paraId="0BD516A8" w14:textId="08D2DB37" w:rsidR="00104C0E" w:rsidRDefault="00104C0E" w:rsidP="00104C0E"/>
    <w:p w14:paraId="1C307897" w14:textId="0A8F07C2" w:rsidR="00104C0E" w:rsidRDefault="00104C0E" w:rsidP="00104C0E"/>
    <w:p w14:paraId="2C295B38" w14:textId="499D4098" w:rsidR="00104C0E" w:rsidRDefault="00104C0E" w:rsidP="00104C0E"/>
    <w:p w14:paraId="30C3EB79" w14:textId="672D5C25" w:rsidR="00104C0E" w:rsidRDefault="00104C0E" w:rsidP="00104C0E"/>
    <w:p w14:paraId="5234D374" w14:textId="4FA0E514" w:rsidR="00104C0E" w:rsidRDefault="00104C0E" w:rsidP="00104C0E"/>
    <w:p w14:paraId="6A81053B" w14:textId="72B2A7E2" w:rsidR="00104C0E" w:rsidRDefault="00104C0E" w:rsidP="00104C0E"/>
    <w:p w14:paraId="60396737" w14:textId="77777777" w:rsidR="00104C0E" w:rsidRPr="00104C0E" w:rsidRDefault="00104C0E" w:rsidP="00104C0E"/>
    <w:sectPr w:rsidR="00104C0E" w:rsidRPr="00104C0E" w:rsidSect="006147DF">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39CF" w14:textId="77777777" w:rsidR="00104C0E" w:rsidRDefault="00104C0E" w:rsidP="007D1518">
      <w:r>
        <w:separator/>
      </w:r>
    </w:p>
  </w:endnote>
  <w:endnote w:type="continuationSeparator" w:id="0">
    <w:p w14:paraId="04F10E03" w14:textId="77777777" w:rsidR="00104C0E" w:rsidRDefault="00104C0E" w:rsidP="007D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D269" w14:textId="77777777" w:rsidR="00104C0E" w:rsidRDefault="00104C0E" w:rsidP="007D1518">
      <w:r>
        <w:separator/>
      </w:r>
    </w:p>
  </w:footnote>
  <w:footnote w:type="continuationSeparator" w:id="0">
    <w:p w14:paraId="15532C57" w14:textId="77777777" w:rsidR="00104C0E" w:rsidRDefault="00104C0E" w:rsidP="007D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819A8"/>
    <w:multiLevelType w:val="hybridMultilevel"/>
    <w:tmpl w:val="F5F8DFF4"/>
    <w:lvl w:ilvl="0" w:tplc="3E220224">
      <w:start w:val="1"/>
      <w:numFmt w:val="decimal"/>
      <w:lvlText w:val="%1."/>
      <w:lvlJc w:val="left"/>
      <w:pPr>
        <w:ind w:left="720" w:hanging="360"/>
      </w:pPr>
    </w:lvl>
    <w:lvl w:ilvl="1" w:tplc="8B6C45EA">
      <w:start w:val="1"/>
      <w:numFmt w:val="lowerLetter"/>
      <w:lvlText w:val="%2."/>
      <w:lvlJc w:val="left"/>
      <w:pPr>
        <w:ind w:left="1440" w:hanging="360"/>
      </w:pPr>
    </w:lvl>
    <w:lvl w:ilvl="2" w:tplc="A18ADA00">
      <w:start w:val="1"/>
      <w:numFmt w:val="lowerRoman"/>
      <w:lvlText w:val="%3."/>
      <w:lvlJc w:val="right"/>
      <w:pPr>
        <w:ind w:left="2160" w:hanging="180"/>
      </w:pPr>
    </w:lvl>
    <w:lvl w:ilvl="3" w:tplc="B60EAA74">
      <w:start w:val="1"/>
      <w:numFmt w:val="decimal"/>
      <w:lvlText w:val="%4."/>
      <w:lvlJc w:val="left"/>
      <w:pPr>
        <w:ind w:left="2880" w:hanging="360"/>
      </w:pPr>
    </w:lvl>
    <w:lvl w:ilvl="4" w:tplc="940E6446">
      <w:start w:val="1"/>
      <w:numFmt w:val="lowerLetter"/>
      <w:lvlText w:val="%5."/>
      <w:lvlJc w:val="left"/>
      <w:pPr>
        <w:ind w:left="3600" w:hanging="360"/>
      </w:pPr>
    </w:lvl>
    <w:lvl w:ilvl="5" w:tplc="57F6D0D8">
      <w:start w:val="1"/>
      <w:numFmt w:val="lowerRoman"/>
      <w:lvlText w:val="%6."/>
      <w:lvlJc w:val="right"/>
      <w:pPr>
        <w:ind w:left="4320" w:hanging="180"/>
      </w:pPr>
    </w:lvl>
    <w:lvl w:ilvl="6" w:tplc="78665830">
      <w:start w:val="1"/>
      <w:numFmt w:val="decimal"/>
      <w:lvlText w:val="%7."/>
      <w:lvlJc w:val="left"/>
      <w:pPr>
        <w:ind w:left="5040" w:hanging="360"/>
      </w:pPr>
    </w:lvl>
    <w:lvl w:ilvl="7" w:tplc="7A047492">
      <w:start w:val="1"/>
      <w:numFmt w:val="lowerLetter"/>
      <w:lvlText w:val="%8."/>
      <w:lvlJc w:val="left"/>
      <w:pPr>
        <w:ind w:left="5760" w:hanging="360"/>
      </w:pPr>
    </w:lvl>
    <w:lvl w:ilvl="8" w:tplc="98E63850">
      <w:start w:val="1"/>
      <w:numFmt w:val="lowerRoman"/>
      <w:lvlText w:val="%9."/>
      <w:lvlJc w:val="right"/>
      <w:pPr>
        <w:ind w:left="6480" w:hanging="180"/>
      </w:pPr>
    </w:lvl>
  </w:abstractNum>
  <w:abstractNum w:abstractNumId="11"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A3CFD"/>
    <w:multiLevelType w:val="hybridMultilevel"/>
    <w:tmpl w:val="0C9AAA8E"/>
    <w:lvl w:ilvl="0" w:tplc="8A9ABAEE">
      <w:numFmt w:val="bullet"/>
      <w:pStyle w:val="HWBullets"/>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25C26"/>
    <w:multiLevelType w:val="hybridMultilevel"/>
    <w:tmpl w:val="B8E0E646"/>
    <w:lvl w:ilvl="0" w:tplc="B8BA7100">
      <w:start w:val="1"/>
      <w:numFmt w:val="decimal"/>
      <w:lvlText w:val="%1."/>
      <w:lvlJc w:val="left"/>
      <w:pPr>
        <w:ind w:left="720" w:hanging="360"/>
      </w:pPr>
    </w:lvl>
    <w:lvl w:ilvl="1" w:tplc="6B38D7BA">
      <w:start w:val="1"/>
      <w:numFmt w:val="lowerLetter"/>
      <w:lvlText w:val="%2."/>
      <w:lvlJc w:val="left"/>
      <w:pPr>
        <w:ind w:left="1440" w:hanging="360"/>
      </w:pPr>
    </w:lvl>
    <w:lvl w:ilvl="2" w:tplc="ADCA8D00">
      <w:start w:val="1"/>
      <w:numFmt w:val="lowerRoman"/>
      <w:lvlText w:val="%3."/>
      <w:lvlJc w:val="right"/>
      <w:pPr>
        <w:ind w:left="2160" w:hanging="180"/>
      </w:pPr>
    </w:lvl>
    <w:lvl w:ilvl="3" w:tplc="DA9C2FE6">
      <w:start w:val="1"/>
      <w:numFmt w:val="decimal"/>
      <w:lvlText w:val="%4."/>
      <w:lvlJc w:val="left"/>
      <w:pPr>
        <w:ind w:left="2880" w:hanging="360"/>
      </w:pPr>
    </w:lvl>
    <w:lvl w:ilvl="4" w:tplc="E6BC595E">
      <w:start w:val="1"/>
      <w:numFmt w:val="lowerLetter"/>
      <w:lvlText w:val="%5."/>
      <w:lvlJc w:val="left"/>
      <w:pPr>
        <w:ind w:left="3600" w:hanging="360"/>
      </w:pPr>
    </w:lvl>
    <w:lvl w:ilvl="5" w:tplc="EDFC7580">
      <w:start w:val="1"/>
      <w:numFmt w:val="lowerRoman"/>
      <w:lvlText w:val="%6."/>
      <w:lvlJc w:val="right"/>
      <w:pPr>
        <w:ind w:left="4320" w:hanging="180"/>
      </w:pPr>
    </w:lvl>
    <w:lvl w:ilvl="6" w:tplc="18783C32">
      <w:start w:val="1"/>
      <w:numFmt w:val="decimal"/>
      <w:lvlText w:val="%7."/>
      <w:lvlJc w:val="left"/>
      <w:pPr>
        <w:ind w:left="5040" w:hanging="360"/>
      </w:pPr>
    </w:lvl>
    <w:lvl w:ilvl="7" w:tplc="976443AC">
      <w:start w:val="1"/>
      <w:numFmt w:val="lowerLetter"/>
      <w:lvlText w:val="%8."/>
      <w:lvlJc w:val="left"/>
      <w:pPr>
        <w:ind w:left="5760" w:hanging="360"/>
      </w:pPr>
    </w:lvl>
    <w:lvl w:ilvl="8" w:tplc="8904CA48">
      <w:start w:val="1"/>
      <w:numFmt w:val="lowerRoman"/>
      <w:lvlText w:val="%9."/>
      <w:lvlJc w:val="right"/>
      <w:pPr>
        <w:ind w:left="6480" w:hanging="180"/>
      </w:pPr>
    </w:lvl>
  </w:abstractNum>
  <w:abstractNum w:abstractNumId="17" w15:restartNumberingAfterBreak="0">
    <w:nsid w:val="4BA84419"/>
    <w:multiLevelType w:val="hybridMultilevel"/>
    <w:tmpl w:val="4B3E16A2"/>
    <w:lvl w:ilvl="0" w:tplc="C756A64A">
      <w:start w:val="5"/>
      <w:numFmt w:val="decimal"/>
      <w:lvlText w:val="%1."/>
      <w:lvlJc w:val="left"/>
      <w:pPr>
        <w:ind w:left="720" w:hanging="360"/>
      </w:pPr>
    </w:lvl>
    <w:lvl w:ilvl="1" w:tplc="13AADBA4">
      <w:start w:val="1"/>
      <w:numFmt w:val="lowerLetter"/>
      <w:lvlText w:val="%2."/>
      <w:lvlJc w:val="left"/>
      <w:pPr>
        <w:ind w:left="1440" w:hanging="360"/>
      </w:pPr>
    </w:lvl>
    <w:lvl w:ilvl="2" w:tplc="9B1AD0A4">
      <w:start w:val="1"/>
      <w:numFmt w:val="lowerRoman"/>
      <w:lvlText w:val="%3."/>
      <w:lvlJc w:val="right"/>
      <w:pPr>
        <w:ind w:left="2160" w:hanging="180"/>
      </w:pPr>
    </w:lvl>
    <w:lvl w:ilvl="3" w:tplc="9F0C2504">
      <w:start w:val="1"/>
      <w:numFmt w:val="decimal"/>
      <w:lvlText w:val="%4."/>
      <w:lvlJc w:val="left"/>
      <w:pPr>
        <w:ind w:left="2880" w:hanging="360"/>
      </w:pPr>
    </w:lvl>
    <w:lvl w:ilvl="4" w:tplc="650E6B0C">
      <w:start w:val="1"/>
      <w:numFmt w:val="lowerLetter"/>
      <w:lvlText w:val="%5."/>
      <w:lvlJc w:val="left"/>
      <w:pPr>
        <w:ind w:left="3600" w:hanging="360"/>
      </w:pPr>
    </w:lvl>
    <w:lvl w:ilvl="5" w:tplc="401E0D84">
      <w:start w:val="1"/>
      <w:numFmt w:val="lowerRoman"/>
      <w:lvlText w:val="%6."/>
      <w:lvlJc w:val="right"/>
      <w:pPr>
        <w:ind w:left="4320" w:hanging="180"/>
      </w:pPr>
    </w:lvl>
    <w:lvl w:ilvl="6" w:tplc="DF7C3058">
      <w:start w:val="1"/>
      <w:numFmt w:val="decimal"/>
      <w:lvlText w:val="%7."/>
      <w:lvlJc w:val="left"/>
      <w:pPr>
        <w:ind w:left="5040" w:hanging="360"/>
      </w:pPr>
    </w:lvl>
    <w:lvl w:ilvl="7" w:tplc="0FD84348">
      <w:start w:val="1"/>
      <w:numFmt w:val="lowerLetter"/>
      <w:lvlText w:val="%8."/>
      <w:lvlJc w:val="left"/>
      <w:pPr>
        <w:ind w:left="5760" w:hanging="360"/>
      </w:pPr>
    </w:lvl>
    <w:lvl w:ilvl="8" w:tplc="803E2990">
      <w:start w:val="1"/>
      <w:numFmt w:val="lowerRoman"/>
      <w:lvlText w:val="%9."/>
      <w:lvlJc w:val="right"/>
      <w:pPr>
        <w:ind w:left="6480" w:hanging="180"/>
      </w:pPr>
    </w:lvl>
  </w:abstractNum>
  <w:abstractNum w:abstractNumId="18"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B501D"/>
    <w:multiLevelType w:val="hybridMultilevel"/>
    <w:tmpl w:val="7D48B382"/>
    <w:lvl w:ilvl="0" w:tplc="F92CAFFC">
      <w:start w:val="2"/>
      <w:numFmt w:val="decimal"/>
      <w:lvlText w:val="%1."/>
      <w:lvlJc w:val="left"/>
      <w:pPr>
        <w:ind w:left="720" w:hanging="360"/>
      </w:pPr>
    </w:lvl>
    <w:lvl w:ilvl="1" w:tplc="0B60E3CA">
      <w:start w:val="1"/>
      <w:numFmt w:val="lowerLetter"/>
      <w:lvlText w:val="%2."/>
      <w:lvlJc w:val="left"/>
      <w:pPr>
        <w:ind w:left="1440" w:hanging="360"/>
      </w:pPr>
    </w:lvl>
    <w:lvl w:ilvl="2" w:tplc="686C55B4">
      <w:start w:val="1"/>
      <w:numFmt w:val="lowerRoman"/>
      <w:lvlText w:val="%3."/>
      <w:lvlJc w:val="right"/>
      <w:pPr>
        <w:ind w:left="2160" w:hanging="180"/>
      </w:pPr>
    </w:lvl>
    <w:lvl w:ilvl="3" w:tplc="50240840">
      <w:start w:val="1"/>
      <w:numFmt w:val="decimal"/>
      <w:lvlText w:val="%4."/>
      <w:lvlJc w:val="left"/>
      <w:pPr>
        <w:ind w:left="2880" w:hanging="360"/>
      </w:pPr>
    </w:lvl>
    <w:lvl w:ilvl="4" w:tplc="EBD621F8">
      <w:start w:val="1"/>
      <w:numFmt w:val="lowerLetter"/>
      <w:lvlText w:val="%5."/>
      <w:lvlJc w:val="left"/>
      <w:pPr>
        <w:ind w:left="3600" w:hanging="360"/>
      </w:pPr>
    </w:lvl>
    <w:lvl w:ilvl="5" w:tplc="7A186F98">
      <w:start w:val="1"/>
      <w:numFmt w:val="lowerRoman"/>
      <w:lvlText w:val="%6."/>
      <w:lvlJc w:val="right"/>
      <w:pPr>
        <w:ind w:left="4320" w:hanging="180"/>
      </w:pPr>
    </w:lvl>
    <w:lvl w:ilvl="6" w:tplc="80F6EE34">
      <w:start w:val="1"/>
      <w:numFmt w:val="decimal"/>
      <w:lvlText w:val="%7."/>
      <w:lvlJc w:val="left"/>
      <w:pPr>
        <w:ind w:left="5040" w:hanging="360"/>
      </w:pPr>
    </w:lvl>
    <w:lvl w:ilvl="7" w:tplc="EBF603FE">
      <w:start w:val="1"/>
      <w:numFmt w:val="lowerLetter"/>
      <w:lvlText w:val="%8."/>
      <w:lvlJc w:val="left"/>
      <w:pPr>
        <w:ind w:left="5760" w:hanging="360"/>
      </w:pPr>
    </w:lvl>
    <w:lvl w:ilvl="8" w:tplc="82C8AE54">
      <w:start w:val="1"/>
      <w:numFmt w:val="lowerRoman"/>
      <w:lvlText w:val="%9."/>
      <w:lvlJc w:val="right"/>
      <w:pPr>
        <w:ind w:left="6480" w:hanging="180"/>
      </w:pPr>
    </w:lvl>
  </w:abstractNum>
  <w:abstractNum w:abstractNumId="21" w15:restartNumberingAfterBreak="0">
    <w:nsid w:val="6D5B0B60"/>
    <w:multiLevelType w:val="hybridMultilevel"/>
    <w:tmpl w:val="3C96CCB8"/>
    <w:lvl w:ilvl="0" w:tplc="6054F1FC">
      <w:start w:val="3"/>
      <w:numFmt w:val="decimal"/>
      <w:lvlText w:val="%1."/>
      <w:lvlJc w:val="left"/>
      <w:pPr>
        <w:ind w:left="720" w:hanging="360"/>
      </w:pPr>
    </w:lvl>
    <w:lvl w:ilvl="1" w:tplc="F2AEB55A">
      <w:start w:val="1"/>
      <w:numFmt w:val="lowerLetter"/>
      <w:lvlText w:val="%2."/>
      <w:lvlJc w:val="left"/>
      <w:pPr>
        <w:ind w:left="1440" w:hanging="360"/>
      </w:pPr>
    </w:lvl>
    <w:lvl w:ilvl="2" w:tplc="DD3E2D48">
      <w:start w:val="1"/>
      <w:numFmt w:val="lowerRoman"/>
      <w:lvlText w:val="%3."/>
      <w:lvlJc w:val="right"/>
      <w:pPr>
        <w:ind w:left="2160" w:hanging="180"/>
      </w:pPr>
    </w:lvl>
    <w:lvl w:ilvl="3" w:tplc="750CAEEA">
      <w:start w:val="1"/>
      <w:numFmt w:val="decimal"/>
      <w:lvlText w:val="%4."/>
      <w:lvlJc w:val="left"/>
      <w:pPr>
        <w:ind w:left="2880" w:hanging="360"/>
      </w:pPr>
    </w:lvl>
    <w:lvl w:ilvl="4" w:tplc="B82C1344">
      <w:start w:val="1"/>
      <w:numFmt w:val="lowerLetter"/>
      <w:lvlText w:val="%5."/>
      <w:lvlJc w:val="left"/>
      <w:pPr>
        <w:ind w:left="3600" w:hanging="360"/>
      </w:pPr>
    </w:lvl>
    <w:lvl w:ilvl="5" w:tplc="917A8604">
      <w:start w:val="1"/>
      <w:numFmt w:val="lowerRoman"/>
      <w:lvlText w:val="%6."/>
      <w:lvlJc w:val="right"/>
      <w:pPr>
        <w:ind w:left="4320" w:hanging="180"/>
      </w:pPr>
    </w:lvl>
    <w:lvl w:ilvl="6" w:tplc="CA883BD4">
      <w:start w:val="1"/>
      <w:numFmt w:val="decimal"/>
      <w:lvlText w:val="%7."/>
      <w:lvlJc w:val="left"/>
      <w:pPr>
        <w:ind w:left="5040" w:hanging="360"/>
      </w:pPr>
    </w:lvl>
    <w:lvl w:ilvl="7" w:tplc="9B24300C">
      <w:start w:val="1"/>
      <w:numFmt w:val="lowerLetter"/>
      <w:lvlText w:val="%8."/>
      <w:lvlJc w:val="left"/>
      <w:pPr>
        <w:ind w:left="5760" w:hanging="360"/>
      </w:pPr>
    </w:lvl>
    <w:lvl w:ilvl="8" w:tplc="B9129656">
      <w:start w:val="1"/>
      <w:numFmt w:val="lowerRoman"/>
      <w:lvlText w:val="%9."/>
      <w:lvlJc w:val="right"/>
      <w:pPr>
        <w:ind w:left="6480" w:hanging="180"/>
      </w:pPr>
    </w:lvl>
  </w:abstractNum>
  <w:abstractNum w:abstractNumId="22"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F032E"/>
    <w:multiLevelType w:val="hybridMultilevel"/>
    <w:tmpl w:val="613230C4"/>
    <w:lvl w:ilvl="0" w:tplc="4E48B9B0">
      <w:start w:val="4"/>
      <w:numFmt w:val="decimal"/>
      <w:lvlText w:val="%1."/>
      <w:lvlJc w:val="left"/>
      <w:pPr>
        <w:ind w:left="720" w:hanging="360"/>
      </w:pPr>
    </w:lvl>
    <w:lvl w:ilvl="1" w:tplc="02F4AFBC">
      <w:start w:val="1"/>
      <w:numFmt w:val="lowerLetter"/>
      <w:lvlText w:val="%2."/>
      <w:lvlJc w:val="left"/>
      <w:pPr>
        <w:ind w:left="1440" w:hanging="360"/>
      </w:pPr>
    </w:lvl>
    <w:lvl w:ilvl="2" w:tplc="53EE244A">
      <w:start w:val="1"/>
      <w:numFmt w:val="lowerRoman"/>
      <w:lvlText w:val="%3."/>
      <w:lvlJc w:val="right"/>
      <w:pPr>
        <w:ind w:left="2160" w:hanging="180"/>
      </w:pPr>
    </w:lvl>
    <w:lvl w:ilvl="3" w:tplc="A1A8308C">
      <w:start w:val="1"/>
      <w:numFmt w:val="decimal"/>
      <w:lvlText w:val="%4."/>
      <w:lvlJc w:val="left"/>
      <w:pPr>
        <w:ind w:left="2880" w:hanging="360"/>
      </w:pPr>
    </w:lvl>
    <w:lvl w:ilvl="4" w:tplc="C8700150">
      <w:start w:val="1"/>
      <w:numFmt w:val="lowerLetter"/>
      <w:lvlText w:val="%5."/>
      <w:lvlJc w:val="left"/>
      <w:pPr>
        <w:ind w:left="3600" w:hanging="360"/>
      </w:pPr>
    </w:lvl>
    <w:lvl w:ilvl="5" w:tplc="ACB630D4">
      <w:start w:val="1"/>
      <w:numFmt w:val="lowerRoman"/>
      <w:lvlText w:val="%6."/>
      <w:lvlJc w:val="right"/>
      <w:pPr>
        <w:ind w:left="4320" w:hanging="180"/>
      </w:pPr>
    </w:lvl>
    <w:lvl w:ilvl="6" w:tplc="9580C072">
      <w:start w:val="1"/>
      <w:numFmt w:val="decimal"/>
      <w:lvlText w:val="%7."/>
      <w:lvlJc w:val="left"/>
      <w:pPr>
        <w:ind w:left="5040" w:hanging="360"/>
      </w:pPr>
    </w:lvl>
    <w:lvl w:ilvl="7" w:tplc="761C8134">
      <w:start w:val="1"/>
      <w:numFmt w:val="lowerLetter"/>
      <w:lvlText w:val="%8."/>
      <w:lvlJc w:val="left"/>
      <w:pPr>
        <w:ind w:left="5760" w:hanging="360"/>
      </w:pPr>
    </w:lvl>
    <w:lvl w:ilvl="8" w:tplc="38AC98E0">
      <w:start w:val="1"/>
      <w:numFmt w:val="lowerRoman"/>
      <w:lvlText w:val="%9."/>
      <w:lvlJc w:val="right"/>
      <w:pPr>
        <w:ind w:left="6480" w:hanging="180"/>
      </w:pPr>
    </w:lvl>
  </w:abstractNum>
  <w:abstractNum w:abstractNumId="24" w15:restartNumberingAfterBreak="0">
    <w:nsid w:val="78D42597"/>
    <w:multiLevelType w:val="hybridMultilevel"/>
    <w:tmpl w:val="D88C239E"/>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num w:numId="1" w16cid:durableId="1373072203">
    <w:abstractNumId w:val="12"/>
  </w:num>
  <w:num w:numId="2" w16cid:durableId="44990198">
    <w:abstractNumId w:val="9"/>
  </w:num>
  <w:num w:numId="3" w16cid:durableId="890196099">
    <w:abstractNumId w:val="7"/>
  </w:num>
  <w:num w:numId="4" w16cid:durableId="292950284">
    <w:abstractNumId w:val="6"/>
  </w:num>
  <w:num w:numId="5" w16cid:durableId="1424454382">
    <w:abstractNumId w:val="5"/>
  </w:num>
  <w:num w:numId="6" w16cid:durableId="911233002">
    <w:abstractNumId w:val="4"/>
  </w:num>
  <w:num w:numId="7" w16cid:durableId="9383057">
    <w:abstractNumId w:val="8"/>
  </w:num>
  <w:num w:numId="8" w16cid:durableId="1194342587">
    <w:abstractNumId w:val="3"/>
  </w:num>
  <w:num w:numId="9" w16cid:durableId="2143573494">
    <w:abstractNumId w:val="2"/>
  </w:num>
  <w:num w:numId="10" w16cid:durableId="946087043">
    <w:abstractNumId w:val="1"/>
  </w:num>
  <w:num w:numId="11" w16cid:durableId="1102334354">
    <w:abstractNumId w:val="0"/>
  </w:num>
  <w:num w:numId="12" w16cid:durableId="1705786769">
    <w:abstractNumId w:val="19"/>
  </w:num>
  <w:num w:numId="13" w16cid:durableId="428357894">
    <w:abstractNumId w:val="15"/>
  </w:num>
  <w:num w:numId="14" w16cid:durableId="615716696">
    <w:abstractNumId w:val="11"/>
  </w:num>
  <w:num w:numId="15" w16cid:durableId="1484271264">
    <w:abstractNumId w:val="14"/>
  </w:num>
  <w:num w:numId="16" w16cid:durableId="1150706493">
    <w:abstractNumId w:val="13"/>
  </w:num>
  <w:num w:numId="17" w16cid:durableId="221867654">
    <w:abstractNumId w:val="24"/>
  </w:num>
  <w:num w:numId="18" w16cid:durableId="1467971175">
    <w:abstractNumId w:val="22"/>
  </w:num>
  <w:num w:numId="19" w16cid:durableId="971440221">
    <w:abstractNumId w:val="18"/>
  </w:num>
  <w:num w:numId="20" w16cid:durableId="680930588">
    <w:abstractNumId w:val="17"/>
  </w:num>
  <w:num w:numId="21" w16cid:durableId="999699254">
    <w:abstractNumId w:val="23"/>
  </w:num>
  <w:num w:numId="22" w16cid:durableId="1237666047">
    <w:abstractNumId w:val="21"/>
  </w:num>
  <w:num w:numId="23" w16cid:durableId="275986937">
    <w:abstractNumId w:val="20"/>
  </w:num>
  <w:num w:numId="24" w16cid:durableId="1350913315">
    <w:abstractNumId w:val="16"/>
  </w:num>
  <w:num w:numId="25" w16cid:durableId="1839153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0E"/>
    <w:rsid w:val="00023116"/>
    <w:rsid w:val="00034158"/>
    <w:rsid w:val="000368F0"/>
    <w:rsid w:val="00042799"/>
    <w:rsid w:val="00051D56"/>
    <w:rsid w:val="00056E1D"/>
    <w:rsid w:val="0006241D"/>
    <w:rsid w:val="00063D7C"/>
    <w:rsid w:val="00064FF9"/>
    <w:rsid w:val="00091BD1"/>
    <w:rsid w:val="00092015"/>
    <w:rsid w:val="000A4351"/>
    <w:rsid w:val="000B5938"/>
    <w:rsid w:val="000C6021"/>
    <w:rsid w:val="000D072F"/>
    <w:rsid w:val="000D5E1C"/>
    <w:rsid w:val="000D772D"/>
    <w:rsid w:val="000E4E21"/>
    <w:rsid w:val="000F6681"/>
    <w:rsid w:val="00104C0E"/>
    <w:rsid w:val="00105082"/>
    <w:rsid w:val="00123D5C"/>
    <w:rsid w:val="00125900"/>
    <w:rsid w:val="001518C5"/>
    <w:rsid w:val="00153797"/>
    <w:rsid w:val="00157CDE"/>
    <w:rsid w:val="00163642"/>
    <w:rsid w:val="00164078"/>
    <w:rsid w:val="00172A2A"/>
    <w:rsid w:val="0017762A"/>
    <w:rsid w:val="001A0EEB"/>
    <w:rsid w:val="001B6C6E"/>
    <w:rsid w:val="001C4D43"/>
    <w:rsid w:val="001C52CA"/>
    <w:rsid w:val="001D6A1C"/>
    <w:rsid w:val="001E1DE0"/>
    <w:rsid w:val="001E4CA5"/>
    <w:rsid w:val="001F7792"/>
    <w:rsid w:val="002138FB"/>
    <w:rsid w:val="002207D0"/>
    <w:rsid w:val="00232593"/>
    <w:rsid w:val="0024364F"/>
    <w:rsid w:val="00244DD7"/>
    <w:rsid w:val="00271909"/>
    <w:rsid w:val="0029313C"/>
    <w:rsid w:val="002B124C"/>
    <w:rsid w:val="002B141C"/>
    <w:rsid w:val="002C6E91"/>
    <w:rsid w:val="002D775B"/>
    <w:rsid w:val="00313819"/>
    <w:rsid w:val="003151E3"/>
    <w:rsid w:val="003163F1"/>
    <w:rsid w:val="003179C6"/>
    <w:rsid w:val="00334EE6"/>
    <w:rsid w:val="00335A66"/>
    <w:rsid w:val="00340D2E"/>
    <w:rsid w:val="003424CC"/>
    <w:rsid w:val="00363040"/>
    <w:rsid w:val="00375858"/>
    <w:rsid w:val="003825F0"/>
    <w:rsid w:val="00391AA0"/>
    <w:rsid w:val="003D207E"/>
    <w:rsid w:val="003F0F35"/>
    <w:rsid w:val="003F6DCB"/>
    <w:rsid w:val="00402106"/>
    <w:rsid w:val="004222B7"/>
    <w:rsid w:val="00430F0A"/>
    <w:rsid w:val="00434080"/>
    <w:rsid w:val="00451D9C"/>
    <w:rsid w:val="00490DEF"/>
    <w:rsid w:val="004928CC"/>
    <w:rsid w:val="004A43F3"/>
    <w:rsid w:val="004A4D69"/>
    <w:rsid w:val="004D2A8F"/>
    <w:rsid w:val="004D2EC8"/>
    <w:rsid w:val="004D329E"/>
    <w:rsid w:val="004E3B85"/>
    <w:rsid w:val="004E5916"/>
    <w:rsid w:val="004F2ECE"/>
    <w:rsid w:val="005248C3"/>
    <w:rsid w:val="005314BB"/>
    <w:rsid w:val="00555E1C"/>
    <w:rsid w:val="0057205B"/>
    <w:rsid w:val="0059120E"/>
    <w:rsid w:val="0059175F"/>
    <w:rsid w:val="00597AA1"/>
    <w:rsid w:val="005E11F2"/>
    <w:rsid w:val="005E2C0C"/>
    <w:rsid w:val="006037F9"/>
    <w:rsid w:val="00607410"/>
    <w:rsid w:val="006126EB"/>
    <w:rsid w:val="006147DF"/>
    <w:rsid w:val="00622021"/>
    <w:rsid w:val="00623E54"/>
    <w:rsid w:val="00633D55"/>
    <w:rsid w:val="0064059A"/>
    <w:rsid w:val="0064787F"/>
    <w:rsid w:val="00654C6B"/>
    <w:rsid w:val="00683E8D"/>
    <w:rsid w:val="00691B86"/>
    <w:rsid w:val="00692C3D"/>
    <w:rsid w:val="006C301A"/>
    <w:rsid w:val="006C3ACA"/>
    <w:rsid w:val="006C5E89"/>
    <w:rsid w:val="006D2FAE"/>
    <w:rsid w:val="006D5592"/>
    <w:rsid w:val="006E2A8A"/>
    <w:rsid w:val="006E5CC4"/>
    <w:rsid w:val="006F6803"/>
    <w:rsid w:val="0070477F"/>
    <w:rsid w:val="00706E05"/>
    <w:rsid w:val="007217CC"/>
    <w:rsid w:val="00725DA6"/>
    <w:rsid w:val="0073192A"/>
    <w:rsid w:val="00733072"/>
    <w:rsid w:val="00740E0D"/>
    <w:rsid w:val="00741B29"/>
    <w:rsid w:val="00744DAC"/>
    <w:rsid w:val="00750D67"/>
    <w:rsid w:val="00762252"/>
    <w:rsid w:val="00762C96"/>
    <w:rsid w:val="00783C98"/>
    <w:rsid w:val="0078459F"/>
    <w:rsid w:val="007855EC"/>
    <w:rsid w:val="00792CC3"/>
    <w:rsid w:val="00794500"/>
    <w:rsid w:val="00794F58"/>
    <w:rsid w:val="007B2041"/>
    <w:rsid w:val="007C1380"/>
    <w:rsid w:val="007D1518"/>
    <w:rsid w:val="007D4EFC"/>
    <w:rsid w:val="007E2B37"/>
    <w:rsid w:val="00815EC4"/>
    <w:rsid w:val="0082071A"/>
    <w:rsid w:val="00841516"/>
    <w:rsid w:val="008416D6"/>
    <w:rsid w:val="0084228B"/>
    <w:rsid w:val="008474B2"/>
    <w:rsid w:val="00851069"/>
    <w:rsid w:val="00875542"/>
    <w:rsid w:val="00877269"/>
    <w:rsid w:val="00884522"/>
    <w:rsid w:val="00887348"/>
    <w:rsid w:val="008C3B84"/>
    <w:rsid w:val="008C68A2"/>
    <w:rsid w:val="008C78F4"/>
    <w:rsid w:val="008D14DE"/>
    <w:rsid w:val="008E5204"/>
    <w:rsid w:val="0090247A"/>
    <w:rsid w:val="0090532F"/>
    <w:rsid w:val="00910C9B"/>
    <w:rsid w:val="00923C0A"/>
    <w:rsid w:val="00935F37"/>
    <w:rsid w:val="009434AF"/>
    <w:rsid w:val="00943F47"/>
    <w:rsid w:val="009501A8"/>
    <w:rsid w:val="00957ECB"/>
    <w:rsid w:val="009824B3"/>
    <w:rsid w:val="00996E19"/>
    <w:rsid w:val="009C224C"/>
    <w:rsid w:val="009D3858"/>
    <w:rsid w:val="009E27BE"/>
    <w:rsid w:val="009E43FD"/>
    <w:rsid w:val="009F3401"/>
    <w:rsid w:val="009F3ABB"/>
    <w:rsid w:val="009F4416"/>
    <w:rsid w:val="009F48BB"/>
    <w:rsid w:val="00A048C3"/>
    <w:rsid w:val="00A15942"/>
    <w:rsid w:val="00A2138A"/>
    <w:rsid w:val="00A23F92"/>
    <w:rsid w:val="00A26E5F"/>
    <w:rsid w:val="00A27EB0"/>
    <w:rsid w:val="00A3752C"/>
    <w:rsid w:val="00A5113A"/>
    <w:rsid w:val="00A93AD5"/>
    <w:rsid w:val="00A94B35"/>
    <w:rsid w:val="00AB0BD8"/>
    <w:rsid w:val="00AC1411"/>
    <w:rsid w:val="00AD5E2D"/>
    <w:rsid w:val="00AE5FE0"/>
    <w:rsid w:val="00AF0B97"/>
    <w:rsid w:val="00B00F36"/>
    <w:rsid w:val="00B05FAC"/>
    <w:rsid w:val="00B060EF"/>
    <w:rsid w:val="00B23C40"/>
    <w:rsid w:val="00B31FC3"/>
    <w:rsid w:val="00B56941"/>
    <w:rsid w:val="00B63291"/>
    <w:rsid w:val="00B75C79"/>
    <w:rsid w:val="00B770BF"/>
    <w:rsid w:val="00B80CB5"/>
    <w:rsid w:val="00B913C6"/>
    <w:rsid w:val="00B91DD6"/>
    <w:rsid w:val="00B92639"/>
    <w:rsid w:val="00BB0E31"/>
    <w:rsid w:val="00BC5ACF"/>
    <w:rsid w:val="00BD0EE9"/>
    <w:rsid w:val="00BE5DD6"/>
    <w:rsid w:val="00C029ED"/>
    <w:rsid w:val="00C23174"/>
    <w:rsid w:val="00C23E84"/>
    <w:rsid w:val="00C36385"/>
    <w:rsid w:val="00C4588F"/>
    <w:rsid w:val="00C519AB"/>
    <w:rsid w:val="00C6573A"/>
    <w:rsid w:val="00C73E04"/>
    <w:rsid w:val="00C77F3E"/>
    <w:rsid w:val="00C803C4"/>
    <w:rsid w:val="00C964CE"/>
    <w:rsid w:val="00C96E68"/>
    <w:rsid w:val="00CC18A0"/>
    <w:rsid w:val="00CD70F3"/>
    <w:rsid w:val="00CE798F"/>
    <w:rsid w:val="00D144A9"/>
    <w:rsid w:val="00D368D5"/>
    <w:rsid w:val="00D404B4"/>
    <w:rsid w:val="00D82202"/>
    <w:rsid w:val="00D82C9B"/>
    <w:rsid w:val="00D90905"/>
    <w:rsid w:val="00D95CF1"/>
    <w:rsid w:val="00DB3298"/>
    <w:rsid w:val="00DB59BE"/>
    <w:rsid w:val="00DB6A25"/>
    <w:rsid w:val="00DC7297"/>
    <w:rsid w:val="00DE0FD4"/>
    <w:rsid w:val="00E019DA"/>
    <w:rsid w:val="00E02890"/>
    <w:rsid w:val="00E05FB1"/>
    <w:rsid w:val="00E06CD3"/>
    <w:rsid w:val="00E2114F"/>
    <w:rsid w:val="00E237DC"/>
    <w:rsid w:val="00E258B8"/>
    <w:rsid w:val="00E30A40"/>
    <w:rsid w:val="00E45E90"/>
    <w:rsid w:val="00E77F79"/>
    <w:rsid w:val="00E87033"/>
    <w:rsid w:val="00E903EC"/>
    <w:rsid w:val="00E97B38"/>
    <w:rsid w:val="00EA6230"/>
    <w:rsid w:val="00EA6620"/>
    <w:rsid w:val="00EC102C"/>
    <w:rsid w:val="00EC3E6C"/>
    <w:rsid w:val="00EC7BBE"/>
    <w:rsid w:val="00F27E34"/>
    <w:rsid w:val="00F62FDD"/>
    <w:rsid w:val="00F82F67"/>
    <w:rsid w:val="00F85233"/>
    <w:rsid w:val="00FB1BB8"/>
    <w:rsid w:val="00FC2DE4"/>
    <w:rsid w:val="00FE6E88"/>
    <w:rsid w:val="00FF4EE4"/>
    <w:rsid w:val="00FF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51E0"/>
  <w15:docId w15:val="{3C08EE53-2A9C-4DBB-93CF-77084CC0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49"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104C0E"/>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rsid w:val="007D1518"/>
    <w:pPr>
      <w:tabs>
        <w:tab w:val="center" w:pos="4513"/>
        <w:tab w:val="right" w:pos="9026"/>
      </w:tabs>
    </w:pPr>
  </w:style>
  <w:style w:type="character" w:customStyle="1" w:styleId="HeaderChar">
    <w:name w:val="Header Char"/>
    <w:basedOn w:val="DefaultParagraphFont"/>
    <w:link w:val="Header"/>
    <w:uiPriority w:val="99"/>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49"/>
    <w:qFormat/>
    <w:rsid w:val="00E02890"/>
    <w:pPr>
      <w:spacing w:after="200" w:line="280" w:lineRule="exact"/>
    </w:pPr>
    <w:rPr>
      <w:b/>
      <w:color w:val="004C6B" w:themeColor="text1"/>
      <w:sz w:val="24"/>
    </w:rPr>
  </w:style>
  <w:style w:type="paragraph" w:customStyle="1" w:styleId="HWNormalText">
    <w:name w:val="HW Normal Text"/>
    <w:basedOn w:val="Normal"/>
    <w:qFormat/>
    <w:rsid w:val="003151E3"/>
    <w:pPr>
      <w:spacing w:after="200" w:line="280" w:lineRule="exact"/>
    </w:pPr>
    <w:rPr>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6"/>
    <w:qFormat/>
    <w:rsid w:val="00E02890"/>
    <w:pPr>
      <w:spacing w:before="280" w:after="680" w:line="480" w:lineRule="exact"/>
    </w:pPr>
    <w:rPr>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3151E3"/>
    <w:pPr>
      <w:numPr>
        <w:numId w:val="13"/>
      </w:numPr>
      <w:ind w:left="357" w:hanging="357"/>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49"/>
    <w:rsid w:val="00622021"/>
    <w:pPr>
      <w:spacing w:after="320" w:line="700" w:lineRule="exact"/>
      <w:contextualSpacing/>
    </w:pPr>
    <w:rPr>
      <w:rFonts w:ascii="Poppins" w:hAnsi="Poppins"/>
      <w:b/>
      <w:color w:val="FFFFFF" w:themeColor="background1"/>
      <w:sz w:val="68"/>
      <w:szCs w:val="130"/>
    </w:rPr>
  </w:style>
  <w:style w:type="paragraph" w:customStyle="1" w:styleId="HWMainTitle2">
    <w:name w:val="HW Main Title 2"/>
    <w:basedOn w:val="Normal"/>
    <w:uiPriority w:val="49"/>
    <w:rsid w:val="00622021"/>
    <w:pPr>
      <w:spacing w:line="420" w:lineRule="exact"/>
    </w:pPr>
    <w:rPr>
      <w:color w:val="FFFFFF" w:themeColor="background1"/>
      <w:sz w:val="36"/>
    </w:rPr>
  </w:style>
  <w:style w:type="paragraph" w:customStyle="1" w:styleId="HWSpacer">
    <w:name w:val="HW Spacer"/>
    <w:basedOn w:val="Normal"/>
    <w:uiPriority w:val="49"/>
    <w:rsid w:val="00762252"/>
    <w:pPr>
      <w:spacing w:line="240" w:lineRule="auto"/>
    </w:pPr>
    <w:rPr>
      <w:sz w:val="2"/>
      <w:szCs w:val="2"/>
    </w:rPr>
  </w:style>
  <w:style w:type="paragraph" w:styleId="TOC1">
    <w:name w:val="toc 1"/>
    <w:basedOn w:val="Normal"/>
    <w:next w:val="Normal"/>
    <w:autoRedefine/>
    <w:uiPriority w:val="4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4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4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EC102C"/>
    <w:rPr>
      <w:color w:val="E73E97" w:themeColor="accent1"/>
    </w:rPr>
  </w:style>
  <w:style w:type="paragraph" w:customStyle="1" w:styleId="HWHeading2">
    <w:name w:val="HW Heading 2"/>
    <w:basedOn w:val="Heading2"/>
    <w:next w:val="HWNormalText"/>
    <w:uiPriority w:val="2"/>
    <w:qFormat/>
    <w:rsid w:val="006F6803"/>
  </w:style>
  <w:style w:type="paragraph" w:customStyle="1" w:styleId="HWHeading3">
    <w:name w:val="HW Heading 3"/>
    <w:basedOn w:val="Heading3"/>
    <w:next w:val="HWNormalText"/>
    <w:uiPriority w:val="3"/>
    <w:qFormat/>
    <w:rsid w:val="006F6803"/>
  </w:style>
  <w:style w:type="paragraph" w:customStyle="1" w:styleId="HWHeading1Non-Contents">
    <w:name w:val="HW Heading 1 (Non-Contents)"/>
    <w:basedOn w:val="HWHeading1"/>
    <w:next w:val="HWNormalText"/>
    <w:uiPriority w:val="1"/>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E019DA"/>
    <w:rPr>
      <w:sz w:val="24"/>
    </w:rPr>
  </w:style>
  <w:style w:type="paragraph" w:customStyle="1" w:styleId="HWStoryText">
    <w:name w:val="HW Story Text"/>
    <w:basedOn w:val="HWStoryTextQuote"/>
    <w:next w:val="HWStoryAttribution"/>
    <w:uiPriority w:val="4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49"/>
    <w:rsid w:val="003151E3"/>
    <w:pPr>
      <w:shd w:val="clear" w:color="auto" w:fill="FDF0D8" w:themeFill="accent3" w:themeFillTint="33"/>
      <w:ind w:left="567" w:right="567"/>
    </w:pPr>
    <w:rPr>
      <w:color w:val="5F5F5F" w:themeColor="text2" w:themeShade="80"/>
      <w:sz w:val="20"/>
    </w:rPr>
  </w:style>
  <w:style w:type="paragraph" w:customStyle="1" w:styleId="HWBlank">
    <w:name w:val="HW Blank"/>
    <w:basedOn w:val="HWNormalText"/>
    <w:uiPriority w:val="49"/>
    <w:qFormat/>
    <w:rsid w:val="00633D55"/>
    <w:pPr>
      <w:spacing w:after="0" w:line="120" w:lineRule="exact"/>
    </w:pPr>
  </w:style>
  <w:style w:type="paragraph" w:customStyle="1" w:styleId="HWBigNumber">
    <w:name w:val="HW Big Number"/>
    <w:basedOn w:val="HWNormalText"/>
    <w:next w:val="HWNormalText"/>
    <w:uiPriority w:val="4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49"/>
    <w:qFormat/>
    <w:rsid w:val="003151E3"/>
    <w:pPr>
      <w:spacing w:line="240" w:lineRule="atLeast"/>
    </w:pPr>
    <w:rPr>
      <w:noProof/>
      <w:lang w:eastAsia="en-GB"/>
    </w:rPr>
  </w:style>
  <w:style w:type="paragraph" w:customStyle="1" w:styleId="HWEndPage1">
    <w:name w:val="HW End Page 1"/>
    <w:basedOn w:val="HWNormalText"/>
    <w:next w:val="HWEndPage2"/>
    <w:uiPriority w:val="49"/>
    <w:rsid w:val="003151E3"/>
    <w:pPr>
      <w:spacing w:before="4080" w:after="0"/>
    </w:pPr>
    <w:rPr>
      <w:b/>
      <w:color w:val="FFFFFF" w:themeColor="background1"/>
      <w:sz w:val="20"/>
    </w:rPr>
  </w:style>
  <w:style w:type="paragraph" w:customStyle="1" w:styleId="HWEndPage2">
    <w:name w:val="HW End Page 2"/>
    <w:basedOn w:val="HWNormalText"/>
    <w:uiPriority w:val="49"/>
    <w:rsid w:val="003151E3"/>
    <w:pPr>
      <w:spacing w:after="0" w:line="260" w:lineRule="exact"/>
    </w:pPr>
    <w:rPr>
      <w:b/>
      <w:color w:val="FFFFFF" w:themeColor="background1"/>
      <w:sz w:val="20"/>
    </w:rPr>
  </w:style>
  <w:style w:type="paragraph" w:customStyle="1" w:styleId="HWEndPage3">
    <w:name w:val="HW End Page 3"/>
    <w:basedOn w:val="HWNormalText"/>
    <w:uiPriority w:val="49"/>
    <w:rsid w:val="003151E3"/>
    <w:pPr>
      <w:spacing w:after="0" w:line="260" w:lineRule="exact"/>
    </w:pPr>
    <w:rPr>
      <w:b/>
      <w:color w:val="FFFFFF" w:themeColor="background1"/>
      <w:sz w:val="20"/>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4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4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4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4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customStyle="1" w:styleId="HWSection1White">
    <w:name w:val="HW Section 1 (White)"/>
    <w:basedOn w:val="HWNormalText"/>
    <w:next w:val="HWSection2White"/>
    <w:uiPriority w:val="49"/>
    <w:qFormat/>
    <w:rsid w:val="007855EC"/>
    <w:pPr>
      <w:spacing w:after="0" w:line="240" w:lineRule="auto"/>
    </w:pPr>
    <w:rPr>
      <w:rFonts w:ascii="Poppins" w:hAnsi="Poppins" w:cs="Poppins"/>
      <w:b/>
      <w:noProof/>
      <w:color w:val="FFFFFF" w:themeColor="background1"/>
      <w:sz w:val="56"/>
      <w:lang w:eastAsia="en-GB"/>
    </w:rPr>
  </w:style>
  <w:style w:type="paragraph" w:customStyle="1" w:styleId="HWSection2White">
    <w:name w:val="HW Section 2 (White)"/>
    <w:basedOn w:val="HWNormalText"/>
    <w:uiPriority w:val="49"/>
    <w:qFormat/>
    <w:rsid w:val="007855EC"/>
    <w:pPr>
      <w:spacing w:before="40" w:after="0" w:line="600" w:lineRule="exact"/>
    </w:pPr>
    <w:rPr>
      <w:b/>
      <w:color w:val="FFFFFF" w:themeColor="background1"/>
      <w:sz w:val="52"/>
      <w:szCs w:val="52"/>
    </w:rPr>
  </w:style>
  <w:style w:type="paragraph" w:customStyle="1" w:styleId="HWSection1Blue">
    <w:name w:val="HW Section 1 (Blue)"/>
    <w:basedOn w:val="HWSection1White"/>
    <w:next w:val="HWSection2Blue"/>
    <w:uiPriority w:val="49"/>
    <w:qFormat/>
    <w:rsid w:val="007855EC"/>
    <w:rPr>
      <w:color w:val="004C6B" w:themeColor="text1"/>
    </w:rPr>
  </w:style>
  <w:style w:type="paragraph" w:customStyle="1" w:styleId="HWSection2Blue">
    <w:name w:val="HW Section 2 (Blue)"/>
    <w:basedOn w:val="HWSection2White"/>
    <w:uiPriority w:val="49"/>
    <w:qFormat/>
    <w:rsid w:val="007855EC"/>
    <w:rPr>
      <w:color w:val="004C6B" w:themeColor="text1"/>
    </w:rPr>
  </w:style>
  <w:style w:type="paragraph" w:styleId="TOCHeading">
    <w:name w:val="TOC Heading"/>
    <w:basedOn w:val="Heading1"/>
    <w:next w:val="Normal"/>
    <w:uiPriority w:val="49"/>
    <w:unhideWhenUsed/>
    <w:qFormat/>
    <w:rsid w:val="00A27EB0"/>
    <w:pPr>
      <w:spacing w:before="240" w:after="0" w:line="259" w:lineRule="auto"/>
      <w:outlineLvl w:val="9"/>
    </w:pPr>
    <w:rPr>
      <w:b w:val="0"/>
      <w:bCs w:val="0"/>
      <w:sz w:val="32"/>
      <w:szCs w:val="32"/>
      <w:lang w:val="en-US"/>
    </w:rPr>
  </w:style>
  <w:style w:type="character" w:styleId="Hyperlink">
    <w:name w:val="Hyperlink"/>
    <w:basedOn w:val="DefaultParagraphFont"/>
    <w:uiPriority w:val="99"/>
    <w:unhideWhenUsed/>
    <w:rsid w:val="00A27EB0"/>
    <w:rPr>
      <w:color w:val="A81563" w:themeColor="hyperlink"/>
      <w:u w:val="single"/>
    </w:rPr>
  </w:style>
  <w:style w:type="paragraph" w:styleId="ListParagraph">
    <w:name w:val="List Paragraph"/>
    <w:basedOn w:val="Normal"/>
    <w:uiPriority w:val="34"/>
    <w:qFormat/>
    <w:rsid w:val="00F82F67"/>
    <w:pPr>
      <w:ind w:left="720"/>
      <w:contextualSpacing/>
    </w:pPr>
  </w:style>
  <w:style w:type="paragraph" w:styleId="Quote">
    <w:name w:val="Quote"/>
    <w:basedOn w:val="Normal"/>
    <w:next w:val="Normal"/>
    <w:link w:val="QuoteChar"/>
    <w:uiPriority w:val="29"/>
    <w:qFormat/>
    <w:rsid w:val="001E4CA5"/>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Theme="minorHAnsi" w:hAnsiTheme="minorHAnsi" w:cstheme="minorBidi"/>
      <w:color w:val="004C6B" w:themeColor="text1"/>
      <w:sz w:val="28"/>
      <w:szCs w:val="28"/>
    </w:rPr>
  </w:style>
  <w:style w:type="character" w:customStyle="1" w:styleId="QuoteChar">
    <w:name w:val="Quote Char"/>
    <w:basedOn w:val="DefaultParagraphFont"/>
    <w:link w:val="Quote"/>
    <w:uiPriority w:val="29"/>
    <w:rsid w:val="001E4CA5"/>
    <w:rPr>
      <w:rFonts w:asciiTheme="minorHAnsi" w:hAnsiTheme="minorHAnsi" w:cstheme="minorBidi"/>
      <w:color w:val="004C6B" w:themeColor="text1"/>
      <w:sz w:val="28"/>
      <w:szCs w:val="28"/>
      <w:shd w:val="clear" w:color="auto" w:fill="FDF0D8" w:themeFill="accent3" w:themeFillTint="33"/>
    </w:rPr>
  </w:style>
  <w:style w:type="paragraph" w:customStyle="1" w:styleId="paragraph">
    <w:name w:val="paragraph"/>
    <w:basedOn w:val="Normal"/>
    <w:rsid w:val="00104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4C0E"/>
  </w:style>
  <w:style w:type="character" w:customStyle="1" w:styleId="eop">
    <w:name w:val="eop"/>
    <w:basedOn w:val="DefaultParagraphFont"/>
    <w:rsid w:val="00104C0E"/>
  </w:style>
  <w:style w:type="paragraph" w:styleId="NoSpacing">
    <w:name w:val="No Spacing"/>
    <w:uiPriority w:val="1"/>
    <w:qFormat/>
    <w:rsid w:val="00104C0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promotion-of-social-inclu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en/publication-download/britain-fairer-2018" TargetMode="External"/><Relationship Id="rId17" Type="http://schemas.openxmlformats.org/officeDocument/2006/relationships/hyperlink" Target="https://www.bristol.gov.uk/documents/20182/32947/Bristol+Key+Facts+2021" TargetMode="External"/><Relationship Id="rId2" Type="http://schemas.openxmlformats.org/officeDocument/2006/relationships/customXml" Target="../customXml/item2.xml"/><Relationship Id="rId16" Type="http://schemas.openxmlformats.org/officeDocument/2006/relationships/hyperlink" Target="https://www.bristol.gov.uk/statistics-census-information/new-wards-data-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org.uk/care-providers/coronavirus-covid-19/commissioning/hospital-discharge-admissions" TargetMode="External"/><Relationship Id="rId5" Type="http://schemas.openxmlformats.org/officeDocument/2006/relationships/numbering" Target="numbering.xml"/><Relationship Id="rId15" Type="http://schemas.openxmlformats.org/officeDocument/2006/relationships/hyperlink" Target="https://www.bristol.gov.uk/policies-plans-strategies/jsna-data-profi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search-for-development-outputs/fair-society-healthy-lives-the-marmot-review-strategic-review-of-health-inequalities-in-england-post-2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West\OneDrive%20-%20Healthwatch%20North%20Somerset\Pictures\Saved%20Pictures\Documents\20220506---healthwatch-report-template-pink-2022.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SharedWithUsers xmlns="4ef0889f-252a-4c55-8aa4-c1bc53974a8f">
      <UserInfo>
        <DisplayName>Cirlei Ioris</DisplayName>
        <AccountId>272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6" ma:contentTypeDescription="Create a new document." ma:contentTypeScope="" ma:versionID="0eeb2b03de70ac692aee7eedcf1a99c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325fe0ec4c57a1ab707b41464d56d41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6D7BF-C7D2-44B4-BBB7-C6970A1DF5AA}">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customXml/itemProps2.xml><?xml version="1.0" encoding="utf-8"?>
<ds:datastoreItem xmlns:ds="http://schemas.openxmlformats.org/officeDocument/2006/customXml" ds:itemID="{99A7B95D-5673-4FC7-832F-2570385FCE4F}">
  <ds:schemaRefs>
    <ds:schemaRef ds:uri="http://schemas.openxmlformats.org/officeDocument/2006/bibliography"/>
  </ds:schemaRefs>
</ds:datastoreItem>
</file>

<file path=customXml/itemProps3.xml><?xml version="1.0" encoding="utf-8"?>
<ds:datastoreItem xmlns:ds="http://schemas.openxmlformats.org/officeDocument/2006/customXml" ds:itemID="{872A68EC-CC7B-48F7-962A-7B3251C7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FCD2C-0610-4491-9F15-33DC2BF0B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20220506---healthwatch-report-template-pink-2022</Template>
  <TotalTime>4</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Guidance</vt:lpstr>
    </vt:vector>
  </TitlesOfParts>
  <Company>Healthwatch</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creator>Helen West</dc:creator>
  <cp:keywords>Report</cp:keywords>
  <dc:description>v2.24 by Kessler Associates</dc:description>
  <cp:lastModifiedBy>Helen West</cp:lastModifiedBy>
  <cp:revision>1</cp:revision>
  <dcterms:created xsi:type="dcterms:W3CDTF">2022-05-24T10:40:00Z</dcterms:created>
  <dcterms:modified xsi:type="dcterms:W3CDTF">2022-05-24T10:44:00Z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0x010100C146E8DF3781BB4EA4ADF6369C57CBFC</vt:lpwstr>
  </property>
</Properties>
</file>